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after="312"/>
        <w:rPr>
          <w:color w:val="auto"/>
        </w:rPr>
      </w:pPr>
      <w:bookmarkStart w:id="0" w:name="_Toc257296930"/>
      <w:bookmarkStart w:id="1" w:name="_Toc244043031"/>
      <w:r>
        <w:rPr>
          <w:rFonts w:hint="eastAsia"/>
          <w:color w:val="auto"/>
        </w:rPr>
        <w:t>旅游管理专业人才培养方案</w:t>
      </w:r>
      <w:bookmarkStart w:id="2" w:name="_Toc244043023"/>
      <w:r>
        <w:rPr>
          <w:rFonts w:hint="eastAsia"/>
          <w:color w:val="auto"/>
        </w:rPr>
        <w:t>（统招）</w:t>
      </w:r>
    </w:p>
    <w:p>
      <w:pPr>
        <w:jc w:val="center"/>
        <w:rPr>
          <w:rFonts w:ascii="仿宋" w:hAnsi="仿宋" w:eastAsia="仿宋" w:cs="仿宋"/>
          <w:sz w:val="24"/>
        </w:rPr>
      </w:pPr>
      <w:r>
        <w:rPr>
          <w:rFonts w:hint="eastAsia" w:ascii="仿宋" w:hAnsi="仿宋" w:eastAsia="仿宋" w:cs="仿宋"/>
          <w:sz w:val="24"/>
        </w:rPr>
        <w:t>（专业代码：</w:t>
      </w:r>
      <w:r>
        <w:rPr>
          <w:rFonts w:hint="eastAsia" w:ascii="宋体" w:hAnsi="宋体"/>
          <w:szCs w:val="21"/>
        </w:rPr>
        <w:t>540101</w:t>
      </w:r>
      <w:r>
        <w:rPr>
          <w:rFonts w:hint="eastAsia" w:ascii="仿宋" w:hAnsi="仿宋" w:eastAsia="仿宋" w:cs="仿宋"/>
          <w:sz w:val="24"/>
        </w:rPr>
        <w:t xml:space="preserve">  专业负责人： 赵丽君      ）</w:t>
      </w:r>
    </w:p>
    <w:p>
      <w:pPr>
        <w:pStyle w:val="3"/>
        <w:spacing w:before="156" w:after="156"/>
        <w:rPr>
          <w:rFonts w:ascii="仿宋" w:hAnsi="仿宋" w:eastAsia="仿宋" w:cs="仿宋"/>
          <w:color w:val="auto"/>
        </w:rPr>
      </w:pPr>
      <w:bookmarkStart w:id="3" w:name="_Toc257296928"/>
      <w:r>
        <w:rPr>
          <w:rFonts w:hint="eastAsia" w:ascii="仿宋" w:hAnsi="仿宋" w:eastAsia="仿宋" w:cs="仿宋"/>
          <w:color w:val="auto"/>
        </w:rPr>
        <w:t>一、</w:t>
      </w:r>
      <w:bookmarkEnd w:id="2"/>
      <w:bookmarkStart w:id="4" w:name="_Toc244043024"/>
      <w:r>
        <w:rPr>
          <w:rFonts w:hint="eastAsia" w:ascii="仿宋" w:hAnsi="仿宋" w:eastAsia="仿宋" w:cs="仿宋"/>
          <w:color w:val="auto"/>
        </w:rPr>
        <w:t>招生对象、学制、学历、修业年限</w:t>
      </w:r>
      <w:bookmarkEnd w:id="3"/>
      <w:bookmarkEnd w:id="4"/>
    </w:p>
    <w:p>
      <w:pPr>
        <w:spacing w:before="156" w:beforeLines="50" w:after="156" w:afterLines="50" w:line="480" w:lineRule="exact"/>
        <w:ind w:firstLine="482" w:firstLineChars="200"/>
        <w:rPr>
          <w:rFonts w:ascii="仿宋" w:hAnsi="仿宋" w:eastAsia="仿宋" w:cs="仿宋"/>
          <w:b/>
          <w:sz w:val="24"/>
        </w:rPr>
      </w:pPr>
      <w:bookmarkStart w:id="5" w:name="_Toc244043025"/>
      <w:r>
        <w:rPr>
          <w:rFonts w:hint="eastAsia" w:ascii="仿宋" w:hAnsi="仿宋" w:eastAsia="仿宋" w:cs="仿宋"/>
          <w:b/>
          <w:sz w:val="24"/>
        </w:rPr>
        <w:t>1. 招生对象</w:t>
      </w:r>
      <w:bookmarkEnd w:id="5"/>
      <w:r>
        <w:rPr>
          <w:rFonts w:hint="eastAsia" w:ascii="仿宋" w:hAnsi="仿宋" w:eastAsia="仿宋" w:cs="仿宋"/>
          <w:b/>
          <w:sz w:val="24"/>
        </w:rPr>
        <w:t>：普通高中毕业生/中等职业学校毕业生</w:t>
      </w:r>
      <w:bookmarkStart w:id="6" w:name="_Toc244043026"/>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2. 学    制</w:t>
      </w:r>
      <w:bookmarkEnd w:id="6"/>
      <w:r>
        <w:rPr>
          <w:rFonts w:hint="eastAsia" w:ascii="仿宋" w:hAnsi="仿宋" w:eastAsia="仿宋" w:cs="仿宋"/>
          <w:b/>
          <w:sz w:val="24"/>
        </w:rPr>
        <w:t>：三年</w:t>
      </w:r>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 xml:space="preserve">3. 学    历：专科 </w:t>
      </w:r>
    </w:p>
    <w:p>
      <w:pPr>
        <w:spacing w:before="156" w:beforeLines="50" w:after="156" w:afterLines="50" w:line="480" w:lineRule="exact"/>
        <w:ind w:firstLine="482" w:firstLineChars="200"/>
        <w:rPr>
          <w:rFonts w:ascii="仿宋" w:hAnsi="仿宋" w:eastAsia="仿宋" w:cs="仿宋"/>
          <w:sz w:val="24"/>
        </w:rPr>
      </w:pPr>
      <w:bookmarkStart w:id="7" w:name="_Toc244043027"/>
      <w:r>
        <w:rPr>
          <w:rFonts w:hint="eastAsia" w:ascii="仿宋" w:hAnsi="仿宋" w:eastAsia="仿宋" w:cs="仿宋"/>
          <w:b/>
          <w:sz w:val="24"/>
        </w:rPr>
        <w:t>4. 修业年限</w:t>
      </w:r>
      <w:bookmarkEnd w:id="7"/>
      <w:r>
        <w:rPr>
          <w:rFonts w:hint="eastAsia" w:ascii="仿宋" w:hAnsi="仿宋" w:eastAsia="仿宋" w:cs="仿宋"/>
          <w:b/>
          <w:sz w:val="24"/>
        </w:rPr>
        <w:t>：三年---六年</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二、培养目标</w:t>
      </w:r>
      <w:bookmarkEnd w:id="0"/>
      <w:bookmarkEnd w:id="1"/>
      <w:r>
        <w:rPr>
          <w:rFonts w:hint="eastAsia" w:ascii="仿宋" w:hAnsi="仿宋" w:eastAsia="仿宋" w:cs="仿宋"/>
          <w:color w:val="auto"/>
        </w:rPr>
        <w:t>与培养规格</w:t>
      </w:r>
    </w:p>
    <w:p>
      <w:pPr>
        <w:spacing w:line="360" w:lineRule="auto"/>
        <w:rPr>
          <w:rFonts w:ascii="仿宋" w:hAnsi="仿宋" w:eastAsia="仿宋" w:cs="仿宋"/>
          <w:b/>
          <w:bCs/>
          <w:sz w:val="24"/>
        </w:rPr>
      </w:pPr>
      <w:r>
        <w:rPr>
          <w:rFonts w:hint="eastAsia" w:ascii="仿宋" w:hAnsi="仿宋" w:eastAsia="仿宋" w:cs="仿宋"/>
          <w:b/>
          <w:bCs/>
          <w:sz w:val="24"/>
        </w:rPr>
        <w:t>（一）人才培养目标</w:t>
      </w:r>
    </w:p>
    <w:p>
      <w:pPr>
        <w:widowControl/>
        <w:spacing w:line="460" w:lineRule="exact"/>
        <w:ind w:firstLine="480" w:firstLineChars="200"/>
        <w:jc w:val="left"/>
        <w:rPr>
          <w:rFonts w:ascii="仿宋" w:hAnsi="仿宋" w:eastAsia="仿宋" w:cs="仿宋"/>
          <w:kern w:val="0"/>
          <w:sz w:val="24"/>
        </w:rPr>
      </w:pPr>
      <w:r>
        <w:rPr>
          <w:rFonts w:hint="eastAsia" w:ascii="仿宋" w:hAnsi="仿宋" w:eastAsia="仿宋"/>
          <w:kern w:val="0"/>
          <w:sz w:val="24"/>
        </w:rPr>
        <w:t>为贯彻党的十九大精神，落实《中共中央办公厅 国务院办公厅关于深化教育体制机制改革的意见》和《国务院关于加快发展现代职业教育的决定》，</w:t>
      </w:r>
      <w:r>
        <w:rPr>
          <w:rFonts w:ascii="仿宋" w:hAnsi="仿宋" w:eastAsia="仿宋"/>
          <w:bCs/>
          <w:sz w:val="24"/>
        </w:rPr>
        <w:t>本专业</w:t>
      </w:r>
      <w:r>
        <w:rPr>
          <w:rFonts w:hint="eastAsia" w:ascii="仿宋" w:hAnsi="仿宋" w:eastAsia="仿宋"/>
          <w:bCs/>
          <w:sz w:val="24"/>
        </w:rPr>
        <w:t>人才培养方案立足内蒙古东部区，面向全内蒙古自治区，辐射全国，</w:t>
      </w:r>
      <w:r>
        <w:rPr>
          <w:rFonts w:hint="eastAsia" w:ascii="仿宋" w:hAnsi="仿宋" w:eastAsia="仿宋"/>
          <w:sz w:val="24"/>
        </w:rPr>
        <w:t>培养拥护党的基本路线，适应旅游企业管理、服务第一线需要的，德、智、体、美等方面全面发展的，掌握从事旅游服务与管理实际工作的基本能力和基本技能，具有本专业领域必备的基础理论知识和专门知识，具有良好的职业道德和敬业精神的，能在旅游企业如旅行社、旅游饭店和其他旅游企业第一线从事接待、服务、管理、项目开发、市场推广等工作，适应旅游业发展需求的高素质技术技能型专门人才。除此之外</w:t>
      </w:r>
      <w:r>
        <w:rPr>
          <w:rFonts w:hint="eastAsia" w:ascii="仿宋" w:hAnsi="仿宋" w:eastAsia="仿宋"/>
          <w:kern w:val="0"/>
          <w:sz w:val="24"/>
        </w:rPr>
        <w:t>特将素质教育、创新创业教育等有效地融入；采用高效便捷的管理模式和个性化的培养方案，力求最大限度调动学生成才的内在动力，使进入本培养方案的学生在毕业时，成为除具备一定的专业知识和技能外，并在人文素质、职业素养、创新创业精神及个性塑造等方面具备较好发展潜质的高素质技术技能型人才。</w:t>
      </w:r>
    </w:p>
    <w:p>
      <w:pPr>
        <w:spacing w:line="360" w:lineRule="auto"/>
        <w:rPr>
          <w:rFonts w:ascii="仿宋" w:hAnsi="仿宋" w:eastAsia="仿宋" w:cs="仿宋"/>
          <w:sz w:val="24"/>
        </w:rPr>
      </w:pPr>
      <w:r>
        <w:rPr>
          <w:rFonts w:hint="eastAsia" w:ascii="仿宋" w:hAnsi="仿宋" w:eastAsia="仿宋" w:cs="仿宋"/>
          <w:b/>
          <w:bCs/>
          <w:sz w:val="24"/>
        </w:rPr>
        <w:t>（二）人才培养规格</w:t>
      </w:r>
    </w:p>
    <w:p>
      <w:pPr>
        <w:spacing w:line="360" w:lineRule="auto"/>
        <w:ind w:firstLine="645"/>
        <w:rPr>
          <w:rFonts w:ascii="仿宋" w:hAnsi="仿宋" w:eastAsia="仿宋" w:cs="仿宋"/>
          <w:sz w:val="24"/>
        </w:rPr>
      </w:pPr>
      <w:r>
        <w:rPr>
          <w:rFonts w:hint="eastAsia" w:ascii="仿宋" w:hAnsi="仿宋" w:eastAsia="仿宋" w:cs="仿宋"/>
          <w:sz w:val="24"/>
        </w:rPr>
        <w:t>1．知识要求：</w:t>
      </w:r>
    </w:p>
    <w:p>
      <w:pPr>
        <w:spacing w:line="360" w:lineRule="auto"/>
        <w:ind w:firstLine="645"/>
        <w:rPr>
          <w:rFonts w:ascii="仿宋" w:hAnsi="仿宋" w:eastAsia="仿宋" w:cs="仿宋"/>
          <w:sz w:val="24"/>
        </w:rPr>
      </w:pPr>
      <w:r>
        <w:rPr>
          <w:rFonts w:hint="eastAsia" w:ascii="仿宋" w:hAnsi="仿宋" w:eastAsia="仿宋" w:cs="仿宋"/>
          <w:sz w:val="24"/>
        </w:rPr>
        <w:t>1）了解我国的发展历史和重大方针政策，明确社会主义法律规范；</w:t>
      </w:r>
    </w:p>
    <w:p>
      <w:pPr>
        <w:spacing w:line="360" w:lineRule="auto"/>
        <w:ind w:firstLine="645"/>
        <w:rPr>
          <w:rFonts w:ascii="仿宋" w:hAnsi="仿宋" w:eastAsia="仿宋" w:cs="仿宋"/>
          <w:sz w:val="24"/>
        </w:rPr>
      </w:pPr>
      <w:r>
        <w:rPr>
          <w:rFonts w:hint="eastAsia" w:ascii="仿宋" w:hAnsi="仿宋" w:eastAsia="仿宋" w:cs="仿宋"/>
          <w:sz w:val="24"/>
        </w:rPr>
        <w:t>2）掌握必备的体育健身基础知识和相关心理健康知识；</w:t>
      </w:r>
    </w:p>
    <w:p>
      <w:pPr>
        <w:spacing w:line="360" w:lineRule="auto"/>
        <w:ind w:firstLine="645"/>
        <w:rPr>
          <w:rFonts w:ascii="仿宋" w:hAnsi="仿宋" w:eastAsia="仿宋" w:cs="仿宋"/>
          <w:sz w:val="24"/>
        </w:rPr>
      </w:pPr>
      <w:r>
        <w:rPr>
          <w:rFonts w:hint="eastAsia" w:ascii="仿宋" w:hAnsi="仿宋" w:eastAsia="仿宋" w:cs="仿宋"/>
          <w:sz w:val="24"/>
        </w:rPr>
        <w:t>3）掌握必备的计算机应用、英语的基本知识；</w:t>
      </w:r>
    </w:p>
    <w:p>
      <w:pPr>
        <w:spacing w:line="360" w:lineRule="auto"/>
        <w:ind w:firstLine="645"/>
        <w:rPr>
          <w:rFonts w:ascii="仿宋" w:hAnsi="仿宋" w:eastAsia="仿宋" w:cs="仿宋"/>
          <w:sz w:val="24"/>
        </w:rPr>
      </w:pPr>
      <w:r>
        <w:rPr>
          <w:rFonts w:hint="eastAsia" w:ascii="仿宋" w:hAnsi="仿宋" w:eastAsia="仿宋" w:cs="仿宋"/>
          <w:sz w:val="24"/>
        </w:rPr>
        <w:t>4）具有公共安全、自身安全防范的基本知识；</w:t>
      </w:r>
    </w:p>
    <w:p>
      <w:pPr>
        <w:spacing w:line="360" w:lineRule="auto"/>
        <w:ind w:firstLine="645"/>
        <w:rPr>
          <w:rFonts w:ascii="仿宋" w:hAnsi="仿宋" w:eastAsia="仿宋" w:cs="仿宋"/>
          <w:sz w:val="24"/>
        </w:rPr>
      </w:pPr>
      <w:r>
        <w:rPr>
          <w:rFonts w:hint="eastAsia" w:ascii="仿宋" w:hAnsi="仿宋" w:eastAsia="仿宋" w:cs="仿宋"/>
          <w:sz w:val="24"/>
        </w:rPr>
        <w:t>5）掌握旅游概论、旅游资源、旅游地理、旅游服务等旅游相关的专业知识；</w:t>
      </w:r>
    </w:p>
    <w:p>
      <w:pPr>
        <w:spacing w:line="360" w:lineRule="auto"/>
        <w:ind w:firstLine="645"/>
        <w:rPr>
          <w:rFonts w:ascii="仿宋" w:hAnsi="仿宋" w:eastAsia="仿宋" w:cs="仿宋"/>
          <w:sz w:val="24"/>
        </w:rPr>
      </w:pPr>
      <w:r>
        <w:rPr>
          <w:rFonts w:hint="eastAsia" w:ascii="仿宋" w:hAnsi="仿宋" w:eastAsia="仿宋" w:cs="仿宋"/>
          <w:sz w:val="24"/>
        </w:rPr>
        <w:t>6）掌握旅游英语、导游业务、旅行社经营与管理、旅游市场营销等相关的专业知识；</w:t>
      </w:r>
    </w:p>
    <w:p>
      <w:pPr>
        <w:spacing w:line="360" w:lineRule="auto"/>
        <w:ind w:firstLine="645"/>
        <w:rPr>
          <w:rFonts w:ascii="仿宋" w:hAnsi="仿宋" w:eastAsia="仿宋" w:cs="仿宋"/>
          <w:sz w:val="24"/>
        </w:rPr>
      </w:pPr>
      <w:r>
        <w:rPr>
          <w:rFonts w:hint="eastAsia" w:ascii="仿宋" w:hAnsi="仿宋" w:eastAsia="仿宋" w:cs="仿宋"/>
          <w:sz w:val="24"/>
        </w:rPr>
        <w:t>7）掌握相关景区自然科学知识、民族民俗文化、文史知识、饮食、风物知识；</w:t>
      </w:r>
    </w:p>
    <w:p>
      <w:pPr>
        <w:spacing w:line="360" w:lineRule="auto"/>
        <w:ind w:firstLine="645"/>
        <w:rPr>
          <w:rFonts w:ascii="仿宋" w:hAnsi="仿宋" w:eastAsia="仿宋" w:cs="仿宋"/>
          <w:sz w:val="24"/>
        </w:rPr>
      </w:pPr>
      <w:r>
        <w:rPr>
          <w:rFonts w:hint="eastAsia" w:ascii="仿宋" w:hAnsi="仿宋" w:eastAsia="仿宋" w:cs="仿宋"/>
          <w:sz w:val="24"/>
        </w:rPr>
        <w:t xml:space="preserve">8）掌握旅游政策法规知识、社交礼仪知识、服务标准、导游服务工作规范知识。  </w:t>
      </w:r>
    </w:p>
    <w:p>
      <w:pPr>
        <w:spacing w:line="360" w:lineRule="auto"/>
        <w:ind w:firstLine="645"/>
        <w:rPr>
          <w:rFonts w:ascii="仿宋" w:hAnsi="仿宋" w:eastAsia="仿宋" w:cs="仿宋"/>
          <w:sz w:val="24"/>
        </w:rPr>
      </w:pPr>
      <w:r>
        <w:rPr>
          <w:rFonts w:hint="eastAsia" w:ascii="仿宋" w:hAnsi="仿宋" w:eastAsia="仿宋" w:cs="仿宋"/>
          <w:sz w:val="24"/>
        </w:rPr>
        <w:t>2．能力要求</w:t>
      </w:r>
    </w:p>
    <w:p>
      <w:pPr>
        <w:spacing w:line="360" w:lineRule="auto"/>
        <w:ind w:firstLine="645"/>
        <w:rPr>
          <w:rFonts w:ascii="仿宋" w:hAnsi="仿宋" w:eastAsia="仿宋" w:cs="仿宋"/>
          <w:sz w:val="24"/>
        </w:rPr>
      </w:pPr>
      <w:r>
        <w:rPr>
          <w:rFonts w:hint="eastAsia" w:ascii="仿宋" w:hAnsi="仿宋" w:eastAsia="仿宋" w:cs="仿宋"/>
          <w:sz w:val="24"/>
        </w:rPr>
        <w:t>1）具有较强的文字和口头表达能力。</w:t>
      </w:r>
    </w:p>
    <w:p>
      <w:pPr>
        <w:spacing w:line="360" w:lineRule="auto"/>
        <w:ind w:firstLine="645"/>
        <w:rPr>
          <w:rFonts w:ascii="仿宋" w:hAnsi="仿宋" w:eastAsia="仿宋" w:cs="仿宋"/>
          <w:sz w:val="24"/>
        </w:rPr>
      </w:pPr>
      <w:r>
        <w:rPr>
          <w:rFonts w:hint="eastAsia" w:ascii="仿宋" w:hAnsi="仿宋" w:eastAsia="仿宋" w:cs="仿宋"/>
          <w:sz w:val="24"/>
        </w:rPr>
        <w:t>2）具有外语翻译及一定的外语交流能力，具有较强的计算机应用能力。</w:t>
      </w:r>
    </w:p>
    <w:p>
      <w:pPr>
        <w:spacing w:line="360" w:lineRule="auto"/>
        <w:ind w:firstLine="645"/>
        <w:rPr>
          <w:rFonts w:ascii="仿宋" w:hAnsi="仿宋" w:eastAsia="仿宋" w:cs="仿宋"/>
          <w:sz w:val="24"/>
        </w:rPr>
      </w:pPr>
      <w:r>
        <w:rPr>
          <w:rFonts w:hint="eastAsia" w:ascii="仿宋" w:hAnsi="仿宋" w:eastAsia="仿宋" w:cs="仿宋"/>
          <w:sz w:val="24"/>
        </w:rPr>
        <w:t>3）具有较强的社会适应能力和社交能力</w:t>
      </w:r>
    </w:p>
    <w:p>
      <w:pPr>
        <w:spacing w:line="360" w:lineRule="auto"/>
        <w:ind w:firstLine="645"/>
        <w:rPr>
          <w:rFonts w:ascii="仿宋" w:hAnsi="仿宋" w:eastAsia="仿宋" w:cs="仿宋"/>
          <w:sz w:val="24"/>
        </w:rPr>
      </w:pPr>
      <w:r>
        <w:rPr>
          <w:rFonts w:hint="eastAsia" w:ascii="仿宋" w:hAnsi="仿宋" w:eastAsia="仿宋" w:cs="仿宋"/>
          <w:sz w:val="24"/>
        </w:rPr>
        <w:t>4）具有较强的组织协调能力和团结协作能力。</w:t>
      </w:r>
    </w:p>
    <w:p>
      <w:pPr>
        <w:spacing w:line="360" w:lineRule="auto"/>
        <w:ind w:firstLine="645"/>
        <w:rPr>
          <w:rFonts w:ascii="仿宋" w:hAnsi="仿宋" w:eastAsia="仿宋" w:cs="仿宋"/>
          <w:sz w:val="24"/>
        </w:rPr>
      </w:pPr>
      <w:r>
        <w:rPr>
          <w:rFonts w:hint="eastAsia" w:ascii="仿宋" w:hAnsi="仿宋" w:eastAsia="仿宋" w:cs="仿宋"/>
          <w:sz w:val="24"/>
        </w:rPr>
        <w:t>5）具有较强的自学能力、独立工作能力和创新能力</w:t>
      </w:r>
    </w:p>
    <w:p>
      <w:pPr>
        <w:spacing w:line="360" w:lineRule="auto"/>
        <w:ind w:firstLine="645"/>
        <w:rPr>
          <w:rFonts w:ascii="仿宋" w:hAnsi="仿宋" w:eastAsia="仿宋" w:cs="仿宋"/>
          <w:sz w:val="24"/>
        </w:rPr>
      </w:pPr>
      <w:r>
        <w:rPr>
          <w:rFonts w:hint="eastAsia" w:ascii="仿宋" w:hAnsi="仿宋" w:eastAsia="仿宋" w:cs="仿宋"/>
          <w:sz w:val="24"/>
        </w:rPr>
        <w:t xml:space="preserve">6）具有较强的分析解决实际问题的能力和较强的实践动手能力。 </w:t>
      </w:r>
    </w:p>
    <w:p>
      <w:pPr>
        <w:spacing w:line="360" w:lineRule="auto"/>
        <w:ind w:firstLine="645"/>
        <w:rPr>
          <w:rFonts w:ascii="仿宋" w:hAnsi="仿宋" w:eastAsia="仿宋" w:cs="仿宋"/>
          <w:sz w:val="24"/>
        </w:rPr>
      </w:pPr>
      <w:r>
        <w:rPr>
          <w:rFonts w:hint="eastAsia" w:ascii="仿宋" w:hAnsi="仿宋" w:eastAsia="仿宋" w:cs="仿宋"/>
          <w:sz w:val="24"/>
        </w:rPr>
        <w:t>7）具有综合应用所学知识分析和解决旅行社经营管理中的实际问题能力。</w:t>
      </w:r>
    </w:p>
    <w:p>
      <w:pPr>
        <w:spacing w:line="360" w:lineRule="auto"/>
        <w:ind w:firstLine="645"/>
        <w:rPr>
          <w:rFonts w:ascii="仿宋" w:hAnsi="仿宋" w:eastAsia="仿宋" w:cs="仿宋"/>
          <w:sz w:val="24"/>
        </w:rPr>
      </w:pPr>
      <w:r>
        <w:rPr>
          <w:rFonts w:hint="eastAsia" w:ascii="仿宋" w:hAnsi="仿宋" w:eastAsia="仿宋" w:cs="仿宋"/>
          <w:sz w:val="24"/>
        </w:rPr>
        <w:t xml:space="preserve">8）具有旅游市场分析和旅游产品开发与营销的能力。 </w:t>
      </w:r>
    </w:p>
    <w:p>
      <w:pPr>
        <w:spacing w:line="360" w:lineRule="auto"/>
        <w:ind w:firstLine="645"/>
        <w:rPr>
          <w:rFonts w:ascii="仿宋" w:hAnsi="仿宋" w:eastAsia="仿宋" w:cs="仿宋"/>
          <w:sz w:val="24"/>
        </w:rPr>
      </w:pPr>
      <w:r>
        <w:rPr>
          <w:rFonts w:hint="eastAsia" w:ascii="仿宋" w:hAnsi="仿宋" w:eastAsia="仿宋" w:cs="仿宋"/>
          <w:sz w:val="24"/>
        </w:rPr>
        <w:t xml:space="preserve">9）具有较高的导游服务技巧及特色导游词撰写能力。 </w:t>
      </w:r>
    </w:p>
    <w:p>
      <w:pPr>
        <w:spacing w:line="360" w:lineRule="auto"/>
        <w:ind w:firstLine="645"/>
        <w:rPr>
          <w:rFonts w:ascii="仿宋" w:hAnsi="仿宋" w:eastAsia="仿宋" w:cs="仿宋"/>
          <w:sz w:val="24"/>
        </w:rPr>
      </w:pPr>
      <w:r>
        <w:rPr>
          <w:rFonts w:hint="eastAsia" w:ascii="仿宋" w:hAnsi="仿宋" w:eastAsia="仿宋" w:cs="仿宋"/>
          <w:sz w:val="24"/>
        </w:rPr>
        <w:t>10）具有自主创业和行业创新的能力。</w:t>
      </w:r>
    </w:p>
    <w:p>
      <w:pPr>
        <w:spacing w:line="360" w:lineRule="auto"/>
        <w:ind w:firstLine="645"/>
        <w:rPr>
          <w:rFonts w:ascii="仿宋" w:hAnsi="仿宋" w:eastAsia="仿宋" w:cs="仿宋"/>
          <w:sz w:val="24"/>
        </w:rPr>
      </w:pPr>
      <w:r>
        <w:rPr>
          <w:rFonts w:hint="eastAsia" w:ascii="仿宋" w:hAnsi="仿宋" w:eastAsia="仿宋" w:cs="仿宋"/>
          <w:sz w:val="24"/>
        </w:rPr>
        <w:t>3．素质要求</w:t>
      </w:r>
    </w:p>
    <w:p>
      <w:pPr>
        <w:spacing w:line="360" w:lineRule="auto"/>
        <w:ind w:firstLine="645"/>
        <w:rPr>
          <w:rFonts w:ascii="仿宋" w:hAnsi="仿宋" w:eastAsia="仿宋" w:cs="仿宋"/>
          <w:sz w:val="24"/>
        </w:rPr>
      </w:pPr>
      <w:r>
        <w:rPr>
          <w:rFonts w:hint="eastAsia" w:ascii="仿宋" w:hAnsi="仿宋" w:eastAsia="仿宋" w:cs="仿宋"/>
          <w:sz w:val="24"/>
        </w:rPr>
        <w:t>1）具有良好的思想品德、社会公德和关注国家大事、关心国家发展前途的思想政治素质；</w:t>
      </w:r>
    </w:p>
    <w:p>
      <w:pPr>
        <w:spacing w:line="360" w:lineRule="auto"/>
        <w:ind w:firstLine="645"/>
        <w:rPr>
          <w:rFonts w:ascii="仿宋" w:hAnsi="仿宋" w:eastAsia="仿宋" w:cs="仿宋"/>
          <w:sz w:val="24"/>
        </w:rPr>
      </w:pPr>
      <w:r>
        <w:rPr>
          <w:rFonts w:hint="eastAsia" w:ascii="仿宋" w:hAnsi="仿宋" w:eastAsia="仿宋" w:cs="仿宋"/>
          <w:sz w:val="24"/>
        </w:rPr>
        <w:t>2）具有与现代社会压力相适应的身心素质；</w:t>
      </w:r>
    </w:p>
    <w:p>
      <w:pPr>
        <w:spacing w:line="360" w:lineRule="auto"/>
        <w:ind w:firstLine="645"/>
        <w:rPr>
          <w:rFonts w:ascii="仿宋" w:hAnsi="仿宋" w:eastAsia="仿宋" w:cs="仿宋"/>
          <w:sz w:val="24"/>
        </w:rPr>
      </w:pPr>
      <w:r>
        <w:rPr>
          <w:rFonts w:hint="eastAsia" w:ascii="仿宋" w:hAnsi="仿宋" w:eastAsia="仿宋" w:cs="仿宋"/>
          <w:sz w:val="24"/>
        </w:rPr>
        <w:t xml:space="preserve">3）具有诚信品格、服务意识、质量意识和创新意识； </w:t>
      </w:r>
    </w:p>
    <w:p>
      <w:pPr>
        <w:spacing w:line="360" w:lineRule="auto"/>
        <w:ind w:firstLine="645"/>
        <w:rPr>
          <w:rFonts w:ascii="仿宋" w:hAnsi="仿宋" w:eastAsia="仿宋" w:cs="仿宋"/>
          <w:sz w:val="24"/>
        </w:rPr>
      </w:pPr>
      <w:r>
        <w:rPr>
          <w:rFonts w:hint="eastAsia" w:ascii="仿宋" w:hAnsi="仿宋" w:eastAsia="仿宋" w:cs="仿宋"/>
          <w:sz w:val="24"/>
        </w:rPr>
        <w:t>4）具有在言行、举止、守时等方面的良好工作职业素养；</w:t>
      </w:r>
    </w:p>
    <w:p>
      <w:pPr>
        <w:spacing w:line="360" w:lineRule="auto"/>
        <w:ind w:firstLine="645"/>
        <w:rPr>
          <w:rFonts w:ascii="仿宋" w:hAnsi="仿宋" w:eastAsia="仿宋" w:cs="仿宋"/>
          <w:sz w:val="24"/>
        </w:rPr>
      </w:pPr>
      <w:r>
        <w:rPr>
          <w:rFonts w:hint="eastAsia" w:ascii="仿宋" w:hAnsi="仿宋" w:eastAsia="仿宋" w:cs="仿宋"/>
          <w:sz w:val="24"/>
        </w:rPr>
        <w:t>5）具有良好的业务沟通能力和团队协作精神；</w:t>
      </w:r>
    </w:p>
    <w:p>
      <w:pPr>
        <w:spacing w:line="360" w:lineRule="auto"/>
        <w:ind w:firstLine="645"/>
        <w:rPr>
          <w:rFonts w:ascii="仿宋" w:hAnsi="仿宋" w:eastAsia="仿宋" w:cs="仿宋"/>
          <w:sz w:val="24"/>
        </w:rPr>
      </w:pPr>
      <w:r>
        <w:rPr>
          <w:rFonts w:hint="eastAsia" w:ascii="仿宋" w:hAnsi="仿宋" w:eastAsia="仿宋" w:cs="仿宋"/>
          <w:sz w:val="24"/>
        </w:rPr>
        <w:t>6）具有一定的文学、艺术修养和人文素质；</w:t>
      </w:r>
    </w:p>
    <w:p>
      <w:pPr>
        <w:spacing w:line="360" w:lineRule="auto"/>
        <w:ind w:firstLine="645"/>
        <w:rPr>
          <w:rFonts w:ascii="宋体"/>
          <w:sz w:val="28"/>
          <w:szCs w:val="28"/>
        </w:rPr>
      </w:pPr>
      <w:r>
        <w:rPr>
          <w:rFonts w:hint="eastAsia" w:ascii="仿宋" w:hAnsi="仿宋" w:eastAsia="仿宋" w:cs="仿宋"/>
          <w:sz w:val="24"/>
        </w:rPr>
        <w:t>7）具有一定的保护文物和生态文明意识。</w:t>
      </w:r>
    </w:p>
    <w:p>
      <w:pPr>
        <w:pStyle w:val="3"/>
        <w:spacing w:before="156" w:after="156"/>
        <w:rPr>
          <w:rFonts w:ascii="仿宋" w:hAnsi="仿宋" w:eastAsia="仿宋" w:cs="仿宋"/>
          <w:color w:val="auto"/>
          <w:sz w:val="24"/>
        </w:rPr>
      </w:pPr>
      <w:r>
        <w:rPr>
          <w:rFonts w:hint="eastAsia" w:ascii="仿宋" w:hAnsi="仿宋" w:eastAsia="仿宋" w:cs="仿宋"/>
          <w:color w:val="auto"/>
        </w:rPr>
        <w:t>三、核心岗位（群）分析</w:t>
      </w:r>
    </w:p>
    <w:tbl>
      <w:tblPr>
        <w:tblStyle w:val="10"/>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4"/>
        <w:gridCol w:w="1230"/>
        <w:gridCol w:w="2820"/>
        <w:gridCol w:w="243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4" w:type="dxa"/>
            <w:noWrap/>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1230" w:type="dxa"/>
            <w:noWrap/>
          </w:tcPr>
          <w:p>
            <w:pPr>
              <w:spacing w:line="480" w:lineRule="exact"/>
              <w:jc w:val="center"/>
              <w:rPr>
                <w:rFonts w:ascii="仿宋" w:hAnsi="仿宋" w:eastAsia="仿宋" w:cs="仿宋"/>
                <w:sz w:val="24"/>
              </w:rPr>
            </w:pPr>
            <w:r>
              <w:rPr>
                <w:rFonts w:hint="eastAsia" w:ascii="仿宋" w:hAnsi="仿宋" w:eastAsia="仿宋" w:cs="仿宋"/>
                <w:sz w:val="24"/>
              </w:rPr>
              <w:t>核心岗位（群）</w:t>
            </w:r>
          </w:p>
        </w:tc>
        <w:tc>
          <w:tcPr>
            <w:tcW w:w="2820" w:type="dxa"/>
            <w:noWrap/>
          </w:tcPr>
          <w:p>
            <w:pPr>
              <w:spacing w:line="480" w:lineRule="exact"/>
              <w:jc w:val="center"/>
              <w:rPr>
                <w:rFonts w:ascii="仿宋" w:hAnsi="仿宋" w:eastAsia="仿宋" w:cs="仿宋"/>
                <w:sz w:val="24"/>
              </w:rPr>
            </w:pPr>
            <w:r>
              <w:rPr>
                <w:rFonts w:hint="eastAsia" w:ascii="仿宋" w:hAnsi="仿宋" w:eastAsia="仿宋" w:cs="仿宋"/>
                <w:sz w:val="24"/>
              </w:rPr>
              <w:t>素质能力要求</w:t>
            </w:r>
          </w:p>
        </w:tc>
        <w:tc>
          <w:tcPr>
            <w:tcW w:w="2430" w:type="dxa"/>
            <w:noWrap/>
          </w:tcPr>
          <w:p>
            <w:pPr>
              <w:spacing w:line="480" w:lineRule="exact"/>
              <w:jc w:val="center"/>
              <w:rPr>
                <w:rFonts w:ascii="仿宋" w:hAnsi="仿宋" w:eastAsia="仿宋" w:cs="仿宋"/>
                <w:sz w:val="24"/>
              </w:rPr>
            </w:pPr>
            <w:r>
              <w:rPr>
                <w:rFonts w:hint="eastAsia" w:ascii="仿宋" w:hAnsi="仿宋" w:eastAsia="仿宋" w:cs="仿宋"/>
                <w:sz w:val="24"/>
              </w:rPr>
              <w:t>专业核心课程</w:t>
            </w:r>
          </w:p>
        </w:tc>
        <w:tc>
          <w:tcPr>
            <w:tcW w:w="1387" w:type="dxa"/>
            <w:noWrap/>
          </w:tcPr>
          <w:p>
            <w:pPr>
              <w:spacing w:line="480" w:lineRule="exact"/>
              <w:jc w:val="center"/>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4" w:type="dxa"/>
            <w:noWrap/>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230" w:type="dxa"/>
            <w:noWrap/>
            <w:vAlign w:val="center"/>
          </w:tcPr>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导游员</w:t>
            </w:r>
          </w:p>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接待员</w:t>
            </w:r>
          </w:p>
        </w:tc>
        <w:tc>
          <w:tcPr>
            <w:tcW w:w="2820" w:type="dxa"/>
            <w:noWrap/>
          </w:tcPr>
          <w:p>
            <w:pPr>
              <w:numPr>
                <w:ilvl w:val="0"/>
                <w:numId w:val="1"/>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景点讲解能力</w:t>
            </w:r>
          </w:p>
          <w:p>
            <w:pPr>
              <w:numPr>
                <w:ilvl w:val="0"/>
                <w:numId w:val="1"/>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导游带团能力</w:t>
            </w:r>
          </w:p>
          <w:p>
            <w:pPr>
              <w:numPr>
                <w:ilvl w:val="0"/>
                <w:numId w:val="1"/>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具有较强的语言和书面表达能力</w:t>
            </w:r>
          </w:p>
          <w:p>
            <w:pPr>
              <w:numPr>
                <w:ilvl w:val="0"/>
                <w:numId w:val="1"/>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具有较强的学习能力</w:t>
            </w:r>
          </w:p>
          <w:p>
            <w:pPr>
              <w:numPr>
                <w:ilvl w:val="0"/>
                <w:numId w:val="1"/>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具有人际沟通、组织协调和执行任务的能力</w:t>
            </w:r>
          </w:p>
          <w:p>
            <w:pPr>
              <w:numPr>
                <w:ilvl w:val="0"/>
                <w:numId w:val="1"/>
              </w:numPr>
              <w:adjustRightInd w:val="0"/>
              <w:snapToGrid w:val="0"/>
              <w:spacing w:line="360" w:lineRule="exact"/>
              <w:jc w:val="left"/>
              <w:rPr>
                <w:rFonts w:ascii="仿宋" w:hAnsi="仿宋" w:eastAsia="仿宋" w:cs="仿宋"/>
                <w:sz w:val="24"/>
              </w:rPr>
            </w:pPr>
            <w:r>
              <w:rPr>
                <w:rFonts w:hint="eastAsia" w:ascii="仿宋" w:hAnsi="仿宋" w:eastAsia="仿宋" w:cs="仿宋"/>
                <w:bCs/>
                <w:sz w:val="24"/>
              </w:rPr>
              <w:t>景区服务与管理能力</w:t>
            </w:r>
          </w:p>
          <w:p>
            <w:pPr>
              <w:numPr>
                <w:ilvl w:val="0"/>
                <w:numId w:val="1"/>
              </w:numPr>
              <w:adjustRightInd w:val="0"/>
              <w:snapToGrid w:val="0"/>
              <w:spacing w:line="360" w:lineRule="exact"/>
              <w:jc w:val="left"/>
              <w:rPr>
                <w:rFonts w:ascii="仿宋" w:hAnsi="仿宋" w:eastAsia="仿宋" w:cs="仿宋"/>
                <w:sz w:val="24"/>
              </w:rPr>
            </w:pPr>
            <w:r>
              <w:rPr>
                <w:rFonts w:hint="eastAsia" w:ascii="仿宋" w:hAnsi="仿宋" w:eastAsia="仿宋" w:cs="仿宋"/>
                <w:bCs/>
                <w:sz w:val="24"/>
              </w:rPr>
              <w:t>具有良好的总结分析能力。</w:t>
            </w:r>
          </w:p>
        </w:tc>
        <w:tc>
          <w:tcPr>
            <w:tcW w:w="2430" w:type="dxa"/>
            <w:noWrap/>
          </w:tcPr>
          <w:p>
            <w:p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导游业务</w:t>
            </w:r>
          </w:p>
          <w:p>
            <w:p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模拟导游</w:t>
            </w:r>
          </w:p>
          <w:p>
            <w:pPr>
              <w:autoSpaceDE w:val="0"/>
              <w:autoSpaceDN w:val="0"/>
              <w:adjustRightInd w:val="0"/>
              <w:spacing w:line="360" w:lineRule="exact"/>
              <w:jc w:val="left"/>
              <w:rPr>
                <w:rFonts w:ascii="仿宋" w:hAnsi="仿宋" w:eastAsia="仿宋" w:cs="仿宋"/>
                <w:bCs/>
                <w:sz w:val="24"/>
              </w:rPr>
            </w:pPr>
          </w:p>
        </w:tc>
        <w:tc>
          <w:tcPr>
            <w:tcW w:w="1387" w:type="dxa"/>
            <w:noWrap/>
          </w:tcPr>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r>
              <w:rPr>
                <w:rFonts w:hint="eastAsia" w:ascii="仿宋" w:hAnsi="仿宋" w:eastAsia="仿宋" w:cs="仿宋"/>
                <w:sz w:val="24"/>
              </w:rPr>
              <w:t>全国导游资格证书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4" w:type="dxa"/>
            <w:noWrap/>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230" w:type="dxa"/>
            <w:noWrap/>
            <w:vAlign w:val="center"/>
          </w:tcPr>
          <w:p>
            <w:pPr>
              <w:adjustRightInd w:val="0"/>
              <w:snapToGrid w:val="0"/>
              <w:spacing w:line="360" w:lineRule="exact"/>
              <w:jc w:val="center"/>
              <w:rPr>
                <w:rFonts w:ascii="仿宋" w:hAnsi="仿宋" w:eastAsia="仿宋" w:cs="仿宋"/>
                <w:bCs/>
                <w:sz w:val="24"/>
              </w:rPr>
            </w:pPr>
          </w:p>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计调员</w:t>
            </w:r>
          </w:p>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外联员</w:t>
            </w:r>
          </w:p>
        </w:tc>
        <w:tc>
          <w:tcPr>
            <w:tcW w:w="2820" w:type="dxa"/>
            <w:noWrap/>
          </w:tcPr>
          <w:p>
            <w:pPr>
              <w:numPr>
                <w:ilvl w:val="0"/>
                <w:numId w:val="2"/>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旅行社业务操作能力</w:t>
            </w:r>
          </w:p>
          <w:p>
            <w:pPr>
              <w:numPr>
                <w:ilvl w:val="0"/>
                <w:numId w:val="2"/>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具有人际沟通、组织协调的能力</w:t>
            </w:r>
          </w:p>
          <w:p>
            <w:pPr>
              <w:numPr>
                <w:ilvl w:val="0"/>
                <w:numId w:val="2"/>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具有收集、分析和处理信息数据的能力</w:t>
            </w:r>
          </w:p>
          <w:p>
            <w:p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4、具有良好的总结分析能力</w:t>
            </w:r>
          </w:p>
        </w:tc>
        <w:tc>
          <w:tcPr>
            <w:tcW w:w="2430" w:type="dxa"/>
            <w:noWrap/>
          </w:tcPr>
          <w:p>
            <w:pPr>
              <w:autoSpaceDE w:val="0"/>
              <w:autoSpaceDN w:val="0"/>
              <w:adjustRightInd w:val="0"/>
              <w:spacing w:line="360" w:lineRule="exact"/>
              <w:jc w:val="left"/>
              <w:rPr>
                <w:rFonts w:ascii="仿宋" w:hAnsi="仿宋" w:eastAsia="仿宋" w:cs="仿宋"/>
                <w:bCs/>
                <w:sz w:val="24"/>
              </w:rPr>
            </w:pPr>
            <w:r>
              <w:rPr>
                <w:rFonts w:hint="eastAsia" w:ascii="仿宋" w:hAnsi="仿宋" w:eastAsia="仿宋" w:cs="仿宋"/>
                <w:bCs/>
                <w:sz w:val="24"/>
              </w:rPr>
              <w:t>旅行社管理</w:t>
            </w:r>
          </w:p>
          <w:p>
            <w:pPr>
              <w:autoSpaceDE w:val="0"/>
              <w:autoSpaceDN w:val="0"/>
              <w:adjustRightInd w:val="0"/>
              <w:spacing w:line="360" w:lineRule="exact"/>
              <w:jc w:val="left"/>
              <w:rPr>
                <w:rFonts w:ascii="仿宋" w:hAnsi="仿宋" w:eastAsia="仿宋" w:cs="仿宋"/>
                <w:bCs/>
                <w:sz w:val="24"/>
              </w:rPr>
            </w:pPr>
            <w:r>
              <w:rPr>
                <w:rFonts w:hint="eastAsia" w:ascii="仿宋" w:hAnsi="仿宋" w:eastAsia="仿宋" w:cs="仿宋"/>
                <w:bCs/>
                <w:sz w:val="24"/>
              </w:rPr>
              <w:t>旅行社计调业务</w:t>
            </w:r>
          </w:p>
          <w:p>
            <w:pPr>
              <w:autoSpaceDE w:val="0"/>
              <w:autoSpaceDN w:val="0"/>
              <w:adjustRightInd w:val="0"/>
              <w:spacing w:line="360" w:lineRule="exact"/>
              <w:jc w:val="left"/>
              <w:rPr>
                <w:rFonts w:ascii="仿宋" w:hAnsi="仿宋" w:eastAsia="仿宋" w:cs="仿宋"/>
                <w:bCs/>
                <w:sz w:val="24"/>
              </w:rPr>
            </w:pPr>
          </w:p>
          <w:p>
            <w:pPr>
              <w:spacing w:line="480" w:lineRule="exact"/>
              <w:ind w:firstLine="480" w:firstLineChars="200"/>
              <w:rPr>
                <w:rFonts w:ascii="仿宋" w:hAnsi="仿宋" w:eastAsia="仿宋" w:cs="仿宋"/>
                <w:sz w:val="24"/>
              </w:rPr>
            </w:pPr>
          </w:p>
        </w:tc>
        <w:tc>
          <w:tcPr>
            <w:tcW w:w="1387" w:type="dxa"/>
            <w:noWrap/>
          </w:tcPr>
          <w:p>
            <w:pPr>
              <w:spacing w:line="4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4" w:type="dxa"/>
            <w:noWrap/>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1230" w:type="dxa"/>
            <w:noWrap/>
            <w:vAlign w:val="center"/>
          </w:tcPr>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营销员</w:t>
            </w:r>
          </w:p>
        </w:tc>
        <w:tc>
          <w:tcPr>
            <w:tcW w:w="2820" w:type="dxa"/>
            <w:noWrap/>
          </w:tcPr>
          <w:p>
            <w:pPr>
              <w:numPr>
                <w:ilvl w:val="0"/>
                <w:numId w:val="3"/>
              </w:numPr>
              <w:adjustRightInd w:val="0"/>
              <w:snapToGrid w:val="0"/>
              <w:spacing w:line="360" w:lineRule="exact"/>
              <w:jc w:val="left"/>
              <w:rPr>
                <w:rFonts w:ascii="仿宋" w:hAnsi="仿宋" w:eastAsia="仿宋"/>
                <w:bCs/>
                <w:sz w:val="24"/>
              </w:rPr>
            </w:pPr>
            <w:r>
              <w:rPr>
                <w:rFonts w:hint="eastAsia" w:ascii="仿宋" w:hAnsi="仿宋" w:eastAsia="仿宋"/>
                <w:bCs/>
                <w:sz w:val="24"/>
              </w:rPr>
              <w:t>销售能力</w:t>
            </w:r>
          </w:p>
          <w:p>
            <w:pPr>
              <w:numPr>
                <w:ilvl w:val="0"/>
                <w:numId w:val="3"/>
              </w:numPr>
              <w:adjustRightInd w:val="0"/>
              <w:snapToGrid w:val="0"/>
              <w:spacing w:line="360" w:lineRule="exact"/>
              <w:jc w:val="left"/>
              <w:rPr>
                <w:rFonts w:ascii="仿宋" w:hAnsi="仿宋" w:eastAsia="仿宋"/>
                <w:bCs/>
                <w:sz w:val="24"/>
              </w:rPr>
            </w:pPr>
            <w:r>
              <w:rPr>
                <w:rFonts w:hint="eastAsia" w:ascii="仿宋" w:hAnsi="仿宋" w:eastAsia="仿宋"/>
                <w:bCs/>
                <w:sz w:val="24"/>
              </w:rPr>
              <w:t>分析问题的能力</w:t>
            </w:r>
          </w:p>
          <w:p>
            <w:pPr>
              <w:numPr>
                <w:ilvl w:val="0"/>
                <w:numId w:val="3"/>
              </w:numPr>
              <w:adjustRightInd w:val="0"/>
              <w:snapToGrid w:val="0"/>
              <w:spacing w:line="360" w:lineRule="exact"/>
              <w:jc w:val="left"/>
              <w:rPr>
                <w:rFonts w:ascii="仿宋" w:hAnsi="仿宋" w:eastAsia="仿宋"/>
                <w:bCs/>
                <w:sz w:val="24"/>
              </w:rPr>
            </w:pPr>
            <w:r>
              <w:rPr>
                <w:rFonts w:hint="eastAsia" w:ascii="仿宋" w:hAnsi="仿宋" w:eastAsia="仿宋"/>
                <w:bCs/>
                <w:sz w:val="24"/>
              </w:rPr>
              <w:t>洞察事物的能力</w:t>
            </w:r>
          </w:p>
          <w:p>
            <w:pPr>
              <w:numPr>
                <w:ilvl w:val="0"/>
                <w:numId w:val="3"/>
              </w:numPr>
              <w:adjustRightInd w:val="0"/>
              <w:snapToGrid w:val="0"/>
              <w:spacing w:line="360" w:lineRule="exact"/>
              <w:jc w:val="left"/>
              <w:rPr>
                <w:rFonts w:ascii="仿宋" w:hAnsi="仿宋" w:eastAsia="仿宋"/>
                <w:bCs/>
                <w:sz w:val="24"/>
              </w:rPr>
            </w:pPr>
            <w:r>
              <w:rPr>
                <w:rFonts w:hint="eastAsia" w:ascii="仿宋" w:hAnsi="仿宋" w:eastAsia="仿宋"/>
                <w:bCs/>
                <w:sz w:val="24"/>
              </w:rPr>
              <w:t>公关能力</w:t>
            </w:r>
          </w:p>
          <w:p>
            <w:pPr>
              <w:numPr>
                <w:ilvl w:val="0"/>
                <w:numId w:val="3"/>
              </w:numPr>
              <w:adjustRightInd w:val="0"/>
              <w:snapToGrid w:val="0"/>
              <w:spacing w:line="360" w:lineRule="exact"/>
              <w:jc w:val="left"/>
              <w:rPr>
                <w:rFonts w:ascii="仿宋" w:hAnsi="仿宋" w:eastAsia="仿宋" w:cs="仿宋"/>
                <w:bCs/>
                <w:sz w:val="24"/>
              </w:rPr>
            </w:pPr>
            <w:r>
              <w:rPr>
                <w:rFonts w:hint="eastAsia" w:ascii="仿宋" w:hAnsi="仿宋" w:eastAsia="仿宋"/>
                <w:bCs/>
                <w:sz w:val="24"/>
              </w:rPr>
              <w:t>较强的服务意识</w:t>
            </w:r>
          </w:p>
        </w:tc>
        <w:tc>
          <w:tcPr>
            <w:tcW w:w="2430" w:type="dxa"/>
            <w:noWrap/>
          </w:tcPr>
          <w:p>
            <w:pPr>
              <w:autoSpaceDE w:val="0"/>
              <w:autoSpaceDN w:val="0"/>
              <w:adjustRightInd w:val="0"/>
              <w:spacing w:line="360" w:lineRule="exact"/>
              <w:jc w:val="left"/>
              <w:rPr>
                <w:rFonts w:ascii="仿宋" w:hAnsi="仿宋" w:eastAsia="仿宋" w:cs="仿宋"/>
                <w:bCs/>
                <w:sz w:val="24"/>
              </w:rPr>
            </w:pPr>
            <w:r>
              <w:rPr>
                <w:rFonts w:hint="eastAsia" w:ascii="仿宋" w:hAnsi="仿宋" w:eastAsia="仿宋" w:cs="仿宋"/>
                <w:bCs/>
                <w:sz w:val="24"/>
              </w:rPr>
              <w:t>旅游市场营销</w:t>
            </w:r>
          </w:p>
          <w:p>
            <w:pPr>
              <w:autoSpaceDE w:val="0"/>
              <w:autoSpaceDN w:val="0"/>
              <w:adjustRightInd w:val="0"/>
              <w:spacing w:line="360" w:lineRule="exact"/>
              <w:jc w:val="left"/>
              <w:rPr>
                <w:rFonts w:ascii="仿宋" w:hAnsi="仿宋" w:eastAsia="仿宋" w:cs="仿宋"/>
                <w:bCs/>
                <w:sz w:val="24"/>
              </w:rPr>
            </w:pPr>
          </w:p>
        </w:tc>
        <w:tc>
          <w:tcPr>
            <w:tcW w:w="1387" w:type="dxa"/>
            <w:noWrap/>
          </w:tcPr>
          <w:p>
            <w:pPr>
              <w:snapToGrid w:val="0"/>
              <w:spacing w:line="480" w:lineRule="exact"/>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564" w:type="dxa"/>
            <w:noWrap/>
          </w:tcPr>
          <w:p>
            <w:pPr>
              <w:spacing w:line="480" w:lineRule="exact"/>
              <w:jc w:val="center"/>
              <w:rPr>
                <w:rFonts w:ascii="仿宋" w:hAnsi="仿宋" w:eastAsia="仿宋" w:cs="仿宋"/>
                <w:sz w:val="24"/>
              </w:rPr>
            </w:pPr>
            <w:r>
              <w:rPr>
                <w:rFonts w:hint="eastAsia" w:ascii="仿宋" w:hAnsi="仿宋" w:eastAsia="仿宋" w:cs="仿宋"/>
                <w:sz w:val="24"/>
              </w:rPr>
              <w:t>4</w:t>
            </w:r>
          </w:p>
        </w:tc>
        <w:tc>
          <w:tcPr>
            <w:tcW w:w="1230" w:type="dxa"/>
            <w:noWrap/>
            <w:vAlign w:val="center"/>
          </w:tcPr>
          <w:p>
            <w:pPr>
              <w:adjustRightInd w:val="0"/>
              <w:snapToGrid w:val="0"/>
              <w:spacing w:line="360" w:lineRule="exact"/>
              <w:jc w:val="center"/>
              <w:rPr>
                <w:rFonts w:ascii="仿宋" w:hAnsi="仿宋" w:eastAsia="仿宋" w:cs="仿宋"/>
                <w:bCs/>
                <w:sz w:val="24"/>
              </w:rPr>
            </w:pPr>
            <w:r>
              <w:rPr>
                <w:rFonts w:hint="eastAsia" w:ascii="仿宋" w:hAnsi="仿宋" w:eastAsia="仿宋" w:cs="仿宋"/>
                <w:bCs/>
                <w:sz w:val="24"/>
              </w:rPr>
              <w:t>酒店基层服务与管理人员</w:t>
            </w:r>
          </w:p>
        </w:tc>
        <w:tc>
          <w:tcPr>
            <w:tcW w:w="2820" w:type="dxa"/>
            <w:noWrap/>
          </w:tcPr>
          <w:p>
            <w:pPr>
              <w:numPr>
                <w:ilvl w:val="0"/>
                <w:numId w:val="4"/>
              </w:numPr>
              <w:adjustRightInd w:val="0"/>
              <w:snapToGrid w:val="0"/>
              <w:spacing w:line="360" w:lineRule="exact"/>
              <w:jc w:val="left"/>
              <w:rPr>
                <w:rFonts w:ascii="仿宋" w:hAnsi="仿宋" w:eastAsia="仿宋"/>
                <w:bCs/>
                <w:sz w:val="24"/>
              </w:rPr>
            </w:pPr>
            <w:r>
              <w:rPr>
                <w:rFonts w:hint="eastAsia" w:ascii="仿宋" w:hAnsi="仿宋" w:eastAsia="仿宋"/>
                <w:bCs/>
                <w:sz w:val="24"/>
              </w:rPr>
              <w:t>酒店基层服务能力</w:t>
            </w:r>
          </w:p>
          <w:p>
            <w:pPr>
              <w:numPr>
                <w:ilvl w:val="0"/>
                <w:numId w:val="4"/>
              </w:numPr>
              <w:adjustRightInd w:val="0"/>
              <w:snapToGrid w:val="0"/>
              <w:spacing w:line="360" w:lineRule="exact"/>
              <w:jc w:val="left"/>
              <w:rPr>
                <w:rFonts w:ascii="仿宋" w:hAnsi="仿宋" w:eastAsia="仿宋" w:cs="仿宋"/>
                <w:bCs/>
                <w:sz w:val="24"/>
              </w:rPr>
            </w:pPr>
            <w:r>
              <w:rPr>
                <w:rFonts w:hint="eastAsia" w:ascii="仿宋" w:hAnsi="仿宋" w:eastAsia="仿宋"/>
                <w:bCs/>
                <w:sz w:val="24"/>
              </w:rPr>
              <w:t>酒店基层管理能力</w:t>
            </w:r>
          </w:p>
          <w:p>
            <w:pPr>
              <w:numPr>
                <w:ilvl w:val="0"/>
                <w:numId w:val="4"/>
              </w:numPr>
              <w:adjustRightInd w:val="0"/>
              <w:snapToGrid w:val="0"/>
              <w:spacing w:line="360" w:lineRule="exact"/>
              <w:jc w:val="left"/>
              <w:rPr>
                <w:rFonts w:ascii="仿宋" w:hAnsi="仿宋" w:eastAsia="仿宋" w:cs="仿宋"/>
                <w:bCs/>
                <w:sz w:val="24"/>
              </w:rPr>
            </w:pPr>
            <w:r>
              <w:rPr>
                <w:rFonts w:hint="eastAsia" w:ascii="仿宋" w:hAnsi="仿宋" w:eastAsia="仿宋" w:cs="仿宋"/>
                <w:bCs/>
                <w:sz w:val="24"/>
              </w:rPr>
              <w:t>沟通、协调能力</w:t>
            </w:r>
          </w:p>
        </w:tc>
        <w:tc>
          <w:tcPr>
            <w:tcW w:w="2430" w:type="dxa"/>
            <w:noWrap/>
          </w:tcPr>
          <w:p>
            <w:pPr>
              <w:autoSpaceDE w:val="0"/>
              <w:autoSpaceDN w:val="0"/>
              <w:adjustRightInd w:val="0"/>
              <w:spacing w:line="360" w:lineRule="exact"/>
              <w:jc w:val="left"/>
              <w:rPr>
                <w:rFonts w:ascii="仿宋" w:hAnsi="仿宋" w:eastAsia="仿宋" w:cs="仿宋"/>
                <w:bCs/>
                <w:sz w:val="24"/>
              </w:rPr>
            </w:pPr>
            <w:r>
              <w:rPr>
                <w:rFonts w:hint="eastAsia" w:ascii="仿宋" w:hAnsi="仿宋" w:eastAsia="仿宋" w:cs="仿宋"/>
                <w:bCs/>
                <w:sz w:val="24"/>
              </w:rPr>
              <w:t>酒店管理基础与实务</w:t>
            </w:r>
          </w:p>
          <w:p>
            <w:pPr>
              <w:autoSpaceDE w:val="0"/>
              <w:autoSpaceDN w:val="0"/>
              <w:adjustRightInd w:val="0"/>
              <w:spacing w:line="360" w:lineRule="exact"/>
              <w:jc w:val="left"/>
              <w:rPr>
                <w:rFonts w:ascii="仿宋" w:hAnsi="仿宋" w:eastAsia="仿宋" w:cs="仿宋"/>
                <w:bCs/>
                <w:sz w:val="24"/>
              </w:rPr>
            </w:pPr>
          </w:p>
        </w:tc>
        <w:tc>
          <w:tcPr>
            <w:tcW w:w="1387" w:type="dxa"/>
            <w:noWrap/>
          </w:tcPr>
          <w:p>
            <w:pPr>
              <w:snapToGrid w:val="0"/>
              <w:spacing w:line="480" w:lineRule="exact"/>
              <w:jc w:val="left"/>
              <w:rPr>
                <w:rFonts w:ascii="仿宋" w:hAnsi="仿宋" w:eastAsia="仿宋" w:cs="仿宋"/>
                <w:bCs/>
                <w:sz w:val="24"/>
              </w:rPr>
            </w:pPr>
          </w:p>
        </w:tc>
      </w:tr>
    </w:tbl>
    <w:p>
      <w:pPr>
        <w:pStyle w:val="3"/>
        <w:spacing w:beforeLines="0" w:afterLines="0" w:line="500" w:lineRule="exact"/>
        <w:rPr>
          <w:rFonts w:ascii="仿宋" w:hAnsi="仿宋" w:eastAsia="仿宋" w:cs="仿宋"/>
          <w:color w:val="auto"/>
        </w:rPr>
      </w:pPr>
      <w:bookmarkStart w:id="8" w:name="_Toc257296933"/>
      <w:bookmarkStart w:id="9" w:name="_Toc244043039"/>
      <w:r>
        <w:rPr>
          <w:rFonts w:hint="eastAsia" w:ascii="仿宋" w:hAnsi="仿宋" w:eastAsia="仿宋" w:cs="仿宋"/>
          <w:color w:val="auto"/>
        </w:rPr>
        <w:t>四、毕业条件</w:t>
      </w:r>
      <w:bookmarkEnd w:id="8"/>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numPr>
          <w:ilvl w:val="0"/>
          <w:numId w:val="5"/>
        </w:numPr>
        <w:spacing w:line="500" w:lineRule="exact"/>
        <w:rPr>
          <w:rFonts w:ascii="仿宋" w:hAnsi="仿宋" w:eastAsia="仿宋" w:cs="仿宋"/>
          <w:bCs/>
          <w:kern w:val="0"/>
          <w:sz w:val="24"/>
        </w:rPr>
      </w:pPr>
      <w:r>
        <w:rPr>
          <w:rFonts w:hint="eastAsia" w:ascii="仿宋" w:hAnsi="仿宋" w:eastAsia="仿宋" w:cs="仿宋"/>
          <w:b/>
          <w:kern w:val="0"/>
          <w:sz w:val="24"/>
        </w:rPr>
        <w:t>学分要求：</w:t>
      </w:r>
      <w:r>
        <w:rPr>
          <w:rFonts w:hint="eastAsia" w:ascii="仿宋" w:hAnsi="仿宋" w:eastAsia="仿宋" w:cs="仿宋"/>
          <w:bCs/>
          <w:kern w:val="0"/>
          <w:sz w:val="24"/>
        </w:rPr>
        <w:t>必须取得本专业规定的149学分；</w:t>
      </w:r>
    </w:p>
    <w:p>
      <w:pPr>
        <w:widowControl/>
        <w:numPr>
          <w:ilvl w:val="0"/>
          <w:numId w:val="5"/>
        </w:numPr>
        <w:spacing w:line="500" w:lineRule="exact"/>
        <w:jc w:val="left"/>
        <w:rPr>
          <w:rFonts w:ascii="仿宋" w:hAnsi="仿宋" w:eastAsia="仿宋" w:cs="仿宋"/>
          <w:kern w:val="0"/>
          <w:sz w:val="24"/>
        </w:rPr>
      </w:pPr>
      <w:r>
        <w:rPr>
          <w:rFonts w:hint="eastAsia" w:ascii="仿宋" w:hAnsi="仿宋" w:eastAsia="仿宋" w:cs="仿宋"/>
          <w:b/>
          <w:kern w:val="0"/>
          <w:sz w:val="24"/>
        </w:rPr>
        <w:t>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 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 公共选修模块：</w:t>
      </w:r>
      <w:r>
        <w:rPr>
          <w:rFonts w:hint="eastAsia" w:ascii="仿宋" w:hAnsi="仿宋" w:eastAsia="仿宋" w:cs="仿宋"/>
          <w:kern w:val="0"/>
          <w:sz w:val="24"/>
        </w:rPr>
        <w:t>限选6学分。</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bookmarkStart w:id="10" w:name="_Toc244043042"/>
      <w:r>
        <w:rPr>
          <w:rFonts w:hint="eastAsia" w:ascii="仿宋" w:hAnsi="仿宋" w:eastAsia="仿宋" w:cs="仿宋"/>
          <w:b/>
          <w:sz w:val="24"/>
        </w:rPr>
        <w:t>1．</w:t>
      </w:r>
      <w:bookmarkEnd w:id="10"/>
      <w:r>
        <w:rPr>
          <w:rFonts w:hint="eastAsia" w:ascii="仿宋" w:hAnsi="仿宋" w:eastAsia="仿宋" w:cs="仿宋"/>
          <w:b/>
          <w:sz w:val="24"/>
        </w:rPr>
        <w:t>公共基础课</w:t>
      </w:r>
    </w:p>
    <w:tbl>
      <w:tblPr>
        <w:tblStyle w:val="10"/>
        <w:tblW w:w="95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职业基本素质</w:t>
            </w:r>
          </w:p>
        </w:tc>
        <w:tc>
          <w:tcPr>
            <w:tcW w:w="1905"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32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00" w:type="dxa"/>
            <w:vMerge w:val="restart"/>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905"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40"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0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40"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00" w:type="dxa"/>
            <w:noWrap/>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bookmarkStart w:id="11" w:name="_Toc244043044"/>
      <w:r>
        <w:rPr>
          <w:rFonts w:hint="eastAsia" w:ascii="仿宋" w:hAnsi="仿宋" w:eastAsia="仿宋" w:cs="仿宋"/>
          <w:b/>
          <w:sz w:val="24"/>
        </w:rPr>
        <w:t>2．专业基础课</w:t>
      </w:r>
    </w:p>
    <w:tbl>
      <w:tblPr>
        <w:tblStyle w:val="10"/>
        <w:tblW w:w="896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1905"/>
        <w:gridCol w:w="39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专业基本能力</w:t>
            </w:r>
          </w:p>
        </w:tc>
        <w:tc>
          <w:tcPr>
            <w:tcW w:w="1905"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3952"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(1)使学生对旅游业有整体认识，</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(2)对专业产生浓厚兴趣，</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(3)具备初步的专业学习能力。</w:t>
            </w:r>
          </w:p>
          <w:p>
            <w:pPr>
              <w:tabs>
                <w:tab w:val="center" w:pos="4153"/>
                <w:tab w:val="right" w:pos="8306"/>
              </w:tabs>
              <w:snapToGrid w:val="0"/>
              <w:spacing w:line="300" w:lineRule="exact"/>
              <w:outlineLvl w:val="3"/>
              <w:rPr>
                <w:rFonts w:ascii="仿宋" w:hAnsi="仿宋" w:eastAsia="仿宋" w:cs="仿宋"/>
                <w:kern w:val="0"/>
                <w:szCs w:val="21"/>
              </w:rPr>
            </w:pPr>
          </w:p>
        </w:tc>
        <w:tc>
          <w:tcPr>
            <w:tcW w:w="1905" w:type="dxa"/>
            <w:noWrap/>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szCs w:val="21"/>
              </w:rPr>
              <w:t>旅游概论</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⑴</w:t>
            </w:r>
            <w:r>
              <w:rPr>
                <w:rFonts w:ascii="仿宋" w:hAnsi="仿宋" w:eastAsia="仿宋"/>
                <w:szCs w:val="21"/>
              </w:rPr>
              <w:t>旅游的社会意义以及在国民经济中的地位和作用；</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⑵现代旅游基础知识；</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⑶旅游要素；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（1）掌握旅游法律法规相关基础知识原理，具备较强职业法律能力</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（2）能够从事不同类型旅游服务工作，以及处理和解决实际工作遇到的涉及法律法规方面问题</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旅游政策法规</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（1）法律基础，旅游法体系</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（2）旅游服务合同及旅游行业相关法律制度</w:t>
            </w:r>
            <w:r>
              <w:rPr>
                <w:rFonts w:ascii="仿宋" w:hAnsi="仿宋" w:eastAsia="仿宋"/>
                <w:szCs w:val="21"/>
              </w:rPr>
              <w:t>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ascii="仿宋" w:hAnsi="仿宋" w:eastAsia="仿宋"/>
                <w:szCs w:val="21"/>
              </w:rPr>
              <w:t>掌握导游基础知识与技能，提高处理相关问题的能力。</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全国导游基础知识</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中国地理，中国历史文化，中国宗教，中国古代建筑园林，中国民族民风民俗，中国饮食，中国土特产，中国旅游资源，中国主要客源国和地区礼俗</w:t>
            </w:r>
            <w:r>
              <w:rPr>
                <w:rFonts w:ascii="仿宋" w:hAnsi="仿宋" w:eastAsia="仿宋"/>
                <w:szCs w:val="21"/>
              </w:rPr>
              <w:t>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pStyle w:val="21"/>
              <w:tabs>
                <w:tab w:val="center" w:pos="4153"/>
                <w:tab w:val="right" w:pos="8306"/>
              </w:tabs>
              <w:snapToGrid w:val="0"/>
              <w:spacing w:line="300" w:lineRule="exact"/>
              <w:ind w:firstLine="0" w:firstLineChars="0"/>
              <w:outlineLvl w:val="3"/>
              <w:rPr>
                <w:rFonts w:ascii="仿宋" w:hAnsi="仿宋" w:eastAsia="仿宋"/>
                <w:szCs w:val="21"/>
              </w:rPr>
            </w:pPr>
            <w:r>
              <w:rPr>
                <w:rFonts w:hint="eastAsia" w:ascii="仿宋" w:hAnsi="仿宋" w:eastAsia="仿宋"/>
                <w:szCs w:val="21"/>
              </w:rPr>
              <w:t>（1）熟练掌握管理学中的基本概念、基本观点和基本理论；</w:t>
            </w:r>
          </w:p>
          <w:p>
            <w:pPr>
              <w:pStyle w:val="21"/>
              <w:tabs>
                <w:tab w:val="center" w:pos="4153"/>
                <w:tab w:val="right" w:pos="8306"/>
              </w:tabs>
              <w:snapToGrid w:val="0"/>
              <w:spacing w:line="300" w:lineRule="exact"/>
              <w:ind w:firstLine="0" w:firstLineChars="0"/>
              <w:outlineLvl w:val="3"/>
              <w:rPr>
                <w:rFonts w:ascii="仿宋" w:hAnsi="仿宋" w:eastAsia="仿宋"/>
                <w:szCs w:val="21"/>
              </w:rPr>
            </w:pPr>
            <w:r>
              <w:rPr>
                <w:rFonts w:hint="eastAsia" w:ascii="仿宋" w:hAnsi="仿宋" w:eastAsia="仿宋"/>
                <w:szCs w:val="21"/>
              </w:rPr>
              <w:t>（2）掌握管理学的六大管理职能——计划、组织、领导、控制、创新，从而</w:t>
            </w:r>
            <w:r>
              <w:rPr>
                <w:rFonts w:ascii="仿宋" w:hAnsi="仿宋" w:eastAsia="仿宋"/>
                <w:szCs w:val="21"/>
              </w:rPr>
              <w:t>培养基层管理岗位的综合管理技能与素质</w:t>
            </w:r>
            <w:r>
              <w:rPr>
                <w:rFonts w:hint="eastAsia" w:ascii="仿宋" w:hAnsi="仿宋" w:eastAsia="仿宋"/>
                <w:szCs w:val="21"/>
              </w:rPr>
              <w:t>；</w:t>
            </w:r>
          </w:p>
          <w:p>
            <w:pPr>
              <w:pStyle w:val="21"/>
              <w:tabs>
                <w:tab w:val="center" w:pos="4153"/>
                <w:tab w:val="right" w:pos="8306"/>
              </w:tabs>
              <w:snapToGrid w:val="0"/>
              <w:spacing w:line="300" w:lineRule="exact"/>
              <w:ind w:firstLine="0" w:firstLineChars="0"/>
              <w:outlineLvl w:val="3"/>
              <w:rPr>
                <w:rFonts w:ascii="仿宋" w:hAnsi="仿宋" w:eastAsia="仿宋"/>
                <w:szCs w:val="21"/>
              </w:rPr>
            </w:pPr>
            <w:r>
              <w:rPr>
                <w:rFonts w:hint="eastAsia" w:ascii="仿宋" w:hAnsi="仿宋" w:eastAsia="仿宋"/>
                <w:szCs w:val="21"/>
              </w:rPr>
              <w:t>（3）系统地了解各项管理工作的重要性以及做好各项管理工作的各项基本过程和基本原则</w:t>
            </w:r>
          </w:p>
          <w:p>
            <w:pPr>
              <w:pStyle w:val="21"/>
              <w:tabs>
                <w:tab w:val="center" w:pos="4153"/>
                <w:tab w:val="right" w:pos="8306"/>
              </w:tabs>
              <w:snapToGrid w:val="0"/>
              <w:spacing w:line="300" w:lineRule="exact"/>
              <w:ind w:firstLine="0" w:firstLineChars="0"/>
              <w:outlineLvl w:val="3"/>
              <w:rPr>
                <w:rFonts w:ascii="仿宋" w:hAnsi="仿宋" w:eastAsia="仿宋"/>
                <w:szCs w:val="21"/>
              </w:rPr>
            </w:pPr>
            <w:r>
              <w:rPr>
                <w:rFonts w:hint="eastAsia" w:ascii="仿宋" w:hAnsi="仿宋" w:eastAsia="仿宋"/>
                <w:szCs w:val="21"/>
              </w:rPr>
              <w:t>（4）能用管理学的基本思想、方法分析和解决管理实际问题；</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管理学基础</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管理的基本概念、</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管理的职能、</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管理的各个时期的思想理论及特点、计划、组织、决策和控制等管理职能中常用的方法等，</w:t>
            </w:r>
          </w:p>
          <w:p>
            <w:pPr>
              <w:tabs>
                <w:tab w:val="center" w:pos="4153"/>
                <w:tab w:val="right" w:pos="8306"/>
              </w:tabs>
              <w:snapToGrid w:val="0"/>
              <w:spacing w:line="300" w:lineRule="exact"/>
              <w:outlineLvl w:val="3"/>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w:t>
            </w:r>
            <w:r>
              <w:rPr>
                <w:rFonts w:ascii="仿宋" w:hAnsi="仿宋" w:eastAsia="仿宋"/>
                <w:szCs w:val="21"/>
              </w:rPr>
              <w:t>）</w:t>
            </w:r>
            <w:r>
              <w:rPr>
                <w:rFonts w:hint="eastAsia" w:ascii="仿宋" w:hAnsi="仿宋" w:eastAsia="仿宋"/>
                <w:szCs w:val="21"/>
              </w:rPr>
              <w:t>结合导游证考试相关地理知识的要求.</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（2）掌握相关知识，动而达到能熟练运用丰富地理学知识进行导游工作的高技能型人才。</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中国旅游地理</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（1）中国</w:t>
            </w:r>
            <w:r>
              <w:rPr>
                <w:rFonts w:ascii="仿宋" w:hAnsi="仿宋" w:eastAsia="仿宋"/>
                <w:szCs w:val="21"/>
              </w:rPr>
              <w:t>旅游资源</w:t>
            </w:r>
            <w:r>
              <w:rPr>
                <w:rFonts w:hint="eastAsia" w:ascii="仿宋" w:hAnsi="仿宋" w:eastAsia="仿宋"/>
                <w:szCs w:val="21"/>
              </w:rPr>
              <w:t>，</w:t>
            </w:r>
            <w:r>
              <w:rPr>
                <w:rFonts w:ascii="仿宋" w:hAnsi="仿宋" w:eastAsia="仿宋"/>
                <w:szCs w:val="21"/>
              </w:rPr>
              <w:t>旅游者行为</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w:t>
            </w:r>
            <w:r>
              <w:rPr>
                <w:rFonts w:ascii="仿宋" w:hAnsi="仿宋" w:eastAsia="仿宋"/>
                <w:szCs w:val="21"/>
              </w:rPr>
              <w:t>旅游区划、旅游开发区域影响</w:t>
            </w:r>
            <w:r>
              <w:rPr>
                <w:rFonts w:hint="eastAsia" w:ascii="仿宋" w:hAnsi="仿宋" w:eastAsia="仿宋"/>
                <w:szCs w:val="21"/>
              </w:rPr>
              <w:t>。（3）</w:t>
            </w:r>
            <w:r>
              <w:rPr>
                <w:rFonts w:ascii="仿宋" w:hAnsi="仿宋" w:eastAsia="仿宋"/>
                <w:szCs w:val="21"/>
              </w:rPr>
              <w:t>旅游地图、中国旅游地理</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rPr>
                <w:rFonts w:ascii="仿宋" w:hAnsi="仿宋" w:eastAsia="仿宋"/>
                <w:szCs w:val="21"/>
              </w:rPr>
            </w:pPr>
            <w:r>
              <w:rPr>
                <w:rFonts w:hint="eastAsia" w:ascii="仿宋" w:hAnsi="仿宋" w:eastAsia="仿宋"/>
                <w:szCs w:val="21"/>
              </w:rPr>
              <w:t>(1)具有内蒙古主要自然、人文旅游资源类型的识别能力。</w:t>
            </w:r>
            <w:r>
              <w:rPr>
                <w:rFonts w:ascii="仿宋" w:hAnsi="仿宋" w:eastAsia="仿宋"/>
                <w:szCs w:val="21"/>
              </w:rPr>
              <w:t> </w:t>
            </w:r>
          </w:p>
          <w:p>
            <w:pPr>
              <w:rPr>
                <w:rFonts w:ascii="仿宋" w:hAnsi="仿宋" w:eastAsia="仿宋"/>
                <w:szCs w:val="21"/>
              </w:rPr>
            </w:pPr>
            <w:r>
              <w:rPr>
                <w:rFonts w:hint="eastAsia" w:ascii="仿宋" w:hAnsi="仿宋" w:eastAsia="仿宋"/>
                <w:szCs w:val="21"/>
              </w:rPr>
              <w:t>(2)具有内蒙古历史、民俗、地理、园林、建筑、宗教、饮食以及江浙沪旅游基本</w:t>
            </w:r>
          </w:p>
          <w:p>
            <w:pPr>
              <w:rPr>
                <w:rFonts w:ascii="仿宋" w:hAnsi="仿宋" w:eastAsia="仿宋"/>
                <w:szCs w:val="21"/>
              </w:rPr>
            </w:pPr>
            <w:r>
              <w:rPr>
                <w:rFonts w:hint="eastAsia" w:ascii="仿宋" w:hAnsi="仿宋" w:eastAsia="仿宋"/>
                <w:szCs w:val="21"/>
              </w:rPr>
              <w:t>内容构成和文化内涵的理解能力。</w:t>
            </w:r>
            <w:r>
              <w:rPr>
                <w:rFonts w:ascii="仿宋" w:hAnsi="仿宋" w:eastAsia="仿宋"/>
                <w:szCs w:val="21"/>
              </w:rPr>
              <w:t> </w:t>
            </w:r>
          </w:p>
          <w:p>
            <w:pPr>
              <w:rPr>
                <w:rFonts w:ascii="仿宋" w:hAnsi="仿宋" w:eastAsia="仿宋"/>
                <w:szCs w:val="21"/>
              </w:rPr>
            </w:pPr>
            <w:r>
              <w:rPr>
                <w:rFonts w:hint="eastAsia" w:ascii="仿宋" w:hAnsi="仿宋" w:eastAsia="仿宋"/>
                <w:szCs w:val="21"/>
              </w:rPr>
              <w:t>(3)具有内蒙古历史、民俗、地理、建筑、宗教、饮食以及江浙沪旅游基本内容构成和文化内涵的讲解能力。</w:t>
            </w:r>
          </w:p>
          <w:p>
            <w:pPr>
              <w:tabs>
                <w:tab w:val="center" w:pos="4153"/>
                <w:tab w:val="right" w:pos="8306"/>
              </w:tabs>
              <w:snapToGrid w:val="0"/>
              <w:spacing w:line="300" w:lineRule="exact"/>
              <w:outlineLvl w:val="3"/>
              <w:rPr>
                <w:rFonts w:ascii="仿宋" w:hAnsi="仿宋" w:eastAsia="仿宋"/>
                <w:szCs w:val="21"/>
              </w:rPr>
            </w:pPr>
          </w:p>
        </w:tc>
        <w:tc>
          <w:tcPr>
            <w:tcW w:w="1905" w:type="dxa"/>
            <w:noWrap/>
            <w:vAlign w:val="center"/>
          </w:tcPr>
          <w:p>
            <w:pPr>
              <w:spacing w:line="360" w:lineRule="exact"/>
              <w:jc w:val="center"/>
              <w:rPr>
                <w:rFonts w:ascii="仿宋" w:hAnsi="仿宋" w:eastAsia="仿宋"/>
                <w:szCs w:val="21"/>
              </w:rPr>
            </w:pPr>
            <w:r>
              <w:rPr>
                <w:rFonts w:hint="eastAsia" w:ascii="仿宋" w:hAnsi="仿宋" w:eastAsia="仿宋"/>
                <w:szCs w:val="21"/>
              </w:rPr>
              <w:t>内蒙古导游基础知识</w:t>
            </w:r>
          </w:p>
        </w:tc>
        <w:tc>
          <w:tcPr>
            <w:tcW w:w="3952" w:type="dxa"/>
            <w:noWrap/>
          </w:tcPr>
          <w:p>
            <w:pPr>
              <w:rPr>
                <w:rFonts w:ascii="仿宋" w:hAnsi="仿宋" w:eastAsia="仿宋"/>
                <w:szCs w:val="21"/>
              </w:rPr>
            </w:pPr>
            <w:r>
              <w:rPr>
                <w:rFonts w:ascii="仿宋" w:hAnsi="仿宋" w:eastAsia="仿宋"/>
                <w:szCs w:val="21"/>
              </w:rPr>
              <w:t>内蒙古自治区地理与资源环境、历史概况、社会经济发展等内蒙古自治区概况。具体包括内蒙古自治区旅游产业概况、旅游产业发展战略与目标、旅游市场概况、旅游产品体系以及旅游空间发展布局等内蒙古旅游业发展情况</w:t>
            </w:r>
          </w:p>
          <w:p>
            <w:pPr>
              <w:tabs>
                <w:tab w:val="center" w:pos="4153"/>
                <w:tab w:val="right" w:pos="8306"/>
              </w:tabs>
              <w:snapToGrid w:val="0"/>
              <w:spacing w:line="300" w:lineRule="exact"/>
              <w:outlineLvl w:val="3"/>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能运用旅游心理学研究方法和研究模式，科学分析旅游消费者不同的个性及心理活动过程，从而达到较好的旅游服务效果。</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旅游服务心理</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旅游心理学概述；旅游知觉与旅游行为；旅游动机与旅游行为；旅游者的态度与旅游行为；旅游者的人格特征与旅游行为；旅游者的情绪与情感；旅游审美心理。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学会礼仪基本概念、基本原则、基本礼规及禁忌。塑造良好的个人形象，提高服务质量，建立良好的人际关系，提高对客服务技能与技巧和相关单位的团结与合作，建立良好的客我关系。培养学生强烈的职业道德意识和服务意识、正确的价值观、合作精神。提高个人修养、职业素质，激发学生热爱祖国、热爱人民的民族精神及其爱岗敬业思想品质。</w:t>
            </w:r>
          </w:p>
        </w:tc>
        <w:tc>
          <w:tcPr>
            <w:tcW w:w="190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服务礼仪</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仪表礼仪（仪容、仪态、服饰、表情神态、手势语）、电话礼仪、社交礼仪（称呼、问候、寒暄、介绍、名片、握手）、工作岗位接待礼仪、拜访礼仪、宴请礼仪。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通过系统专业的学习，</w:t>
            </w:r>
            <w:r>
              <w:rPr>
                <w:rFonts w:ascii="仿宋" w:hAnsi="仿宋" w:eastAsia="仿宋"/>
                <w:szCs w:val="21"/>
              </w:rPr>
              <w:t>要求导游</w:t>
            </w:r>
            <w:r>
              <w:rPr>
                <w:rFonts w:hint="eastAsia" w:ascii="仿宋" w:hAnsi="仿宋" w:eastAsia="仿宋"/>
                <w:szCs w:val="21"/>
              </w:rPr>
              <w:t>从业</w:t>
            </w:r>
            <w:r>
              <w:rPr>
                <w:rFonts w:ascii="仿宋" w:hAnsi="仿宋" w:eastAsia="仿宋"/>
                <w:szCs w:val="21"/>
              </w:rPr>
              <w:t>人员具有比较坚实的语言功底，在与旅游者交流时、讲解时，语言表达力求正确、得体，要在“达意”和“舒服”上下功夫，在“美”上做文章。</w:t>
            </w:r>
            <w:r>
              <w:rPr>
                <w:rFonts w:hint="eastAsia" w:ascii="仿宋" w:hAnsi="仿宋" w:eastAsia="仿宋"/>
                <w:szCs w:val="21"/>
              </w:rPr>
              <w:t>导游语言是思想性、科学性、知识性、趣味性的综合体。正确、清楚、生动、灵活是导游语言的基本要求，是导游人员语言技能的具体体现，四者相辅相成、缺一不可。</w:t>
            </w:r>
          </w:p>
        </w:tc>
        <w:tc>
          <w:tcPr>
            <w:tcW w:w="1905" w:type="dxa"/>
            <w:noWrap/>
            <w:vAlign w:val="center"/>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导游语言训练</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导游语言概述</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导游语言的基本功</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导游词写作</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导游口才训练</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导游讲解技巧</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导游语言风格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（1）系统地掌握旅游公共关系的基本理论和基本知识。</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（2）培养他们分析问题，解决问题的能力并能够完成最基本的旅游组织公关策划。</w:t>
            </w:r>
          </w:p>
        </w:tc>
        <w:tc>
          <w:tcPr>
            <w:tcW w:w="1905" w:type="dxa"/>
            <w:noWrap/>
            <w:vAlign w:val="center"/>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旅游公共关系</w:t>
            </w:r>
          </w:p>
        </w:tc>
        <w:tc>
          <w:tcPr>
            <w:tcW w:w="3952"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公共关系概述，主体，目标公众，公关职能，公关传播与工作程序，专题策划，企业形象塑造，公关教育及企业公关训练基础知识。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106" w:type="dxa"/>
            <w:noWrap/>
          </w:tcPr>
          <w:p>
            <w:pPr>
              <w:rPr>
                <w:rFonts w:ascii="仿宋" w:hAnsi="仿宋" w:eastAsia="仿宋"/>
                <w:szCs w:val="21"/>
              </w:rPr>
            </w:pPr>
            <w:r>
              <w:rPr>
                <w:rFonts w:hint="eastAsia" w:ascii="仿宋" w:hAnsi="仿宋" w:eastAsia="仿宋"/>
                <w:szCs w:val="21"/>
              </w:rPr>
              <w:t>(1)能够正确对待民族风俗。 </w:t>
            </w:r>
          </w:p>
          <w:p>
            <w:pPr>
              <w:rPr>
                <w:rFonts w:ascii="仿宋" w:hAnsi="仿宋" w:eastAsia="仿宋"/>
                <w:szCs w:val="21"/>
              </w:rPr>
            </w:pPr>
            <w:r>
              <w:rPr>
                <w:rFonts w:hint="eastAsia" w:ascii="仿宋" w:hAnsi="仿宋" w:eastAsia="仿宋"/>
                <w:szCs w:val="21"/>
              </w:rPr>
              <w:t>(2)通过参观考察，培养学生的职业能力。</w:t>
            </w:r>
          </w:p>
        </w:tc>
        <w:tc>
          <w:tcPr>
            <w:tcW w:w="1905" w:type="dxa"/>
            <w:noWrap/>
            <w:vAlign w:val="center"/>
          </w:tcPr>
          <w:p>
            <w:pPr>
              <w:spacing w:line="360" w:lineRule="exact"/>
              <w:rPr>
                <w:rFonts w:ascii="仿宋" w:hAnsi="仿宋" w:eastAsia="仿宋"/>
                <w:szCs w:val="21"/>
              </w:rPr>
            </w:pPr>
            <w:r>
              <w:rPr>
                <w:rFonts w:hint="eastAsia" w:ascii="仿宋" w:hAnsi="仿宋" w:eastAsia="仿宋"/>
                <w:szCs w:val="21"/>
              </w:rPr>
              <w:t>内蒙古民俗旅游</w:t>
            </w:r>
          </w:p>
        </w:tc>
        <w:tc>
          <w:tcPr>
            <w:tcW w:w="3952" w:type="dxa"/>
            <w:noWrap/>
          </w:tcPr>
          <w:p>
            <w:pPr>
              <w:rPr>
                <w:rFonts w:ascii="仿宋" w:hAnsi="仿宋" w:eastAsia="仿宋"/>
                <w:szCs w:val="21"/>
              </w:rPr>
            </w:pPr>
            <w:r>
              <w:rPr>
                <w:rFonts w:hint="eastAsia" w:ascii="仿宋" w:hAnsi="仿宋" w:eastAsia="仿宋"/>
                <w:szCs w:val="21"/>
              </w:rPr>
              <w:t>(</w:t>
            </w:r>
            <w:r>
              <w:rPr>
                <w:rFonts w:ascii="仿宋" w:hAnsi="仿宋" w:eastAsia="仿宋"/>
                <w:szCs w:val="21"/>
              </w:rPr>
              <w:t>1</w:t>
            </w:r>
            <w:r>
              <w:rPr>
                <w:rFonts w:hint="eastAsia" w:ascii="仿宋" w:hAnsi="仿宋" w:eastAsia="仿宋"/>
                <w:szCs w:val="21"/>
              </w:rPr>
              <w:t>)民俗的基本概念、特征和类型</w:t>
            </w:r>
          </w:p>
          <w:p>
            <w:pPr>
              <w:rPr>
                <w:rFonts w:ascii="仿宋" w:hAnsi="仿宋" w:eastAsia="仿宋"/>
                <w:szCs w:val="21"/>
              </w:rPr>
            </w:pPr>
            <w:r>
              <w:rPr>
                <w:rFonts w:hint="eastAsia" w:ascii="仿宋" w:hAnsi="仿宋" w:eastAsia="仿宋"/>
                <w:szCs w:val="21"/>
              </w:rPr>
              <w:t>(</w:t>
            </w:r>
            <w:r>
              <w:rPr>
                <w:rFonts w:ascii="仿宋" w:hAnsi="仿宋" w:eastAsia="仿宋"/>
                <w:szCs w:val="21"/>
              </w:rPr>
              <w:t>2</w:t>
            </w:r>
            <w:r>
              <w:rPr>
                <w:rFonts w:hint="eastAsia" w:ascii="仿宋" w:hAnsi="仿宋" w:eastAsia="仿宋"/>
                <w:szCs w:val="21"/>
              </w:rPr>
              <w:t>)民俗旅游的概念特征及内蒙古民俗旅游资源</w:t>
            </w:r>
          </w:p>
          <w:p>
            <w:pPr>
              <w:rPr>
                <w:rFonts w:ascii="仿宋" w:hAnsi="仿宋" w:eastAsia="仿宋"/>
                <w:szCs w:val="21"/>
              </w:rPr>
            </w:pPr>
            <w:r>
              <w:rPr>
                <w:rFonts w:hint="eastAsia" w:ascii="仿宋" w:hAnsi="仿宋" w:eastAsia="仿宋"/>
                <w:szCs w:val="21"/>
              </w:rPr>
              <w:t>(</w:t>
            </w:r>
            <w:r>
              <w:rPr>
                <w:rFonts w:ascii="仿宋" w:hAnsi="仿宋" w:eastAsia="仿宋"/>
                <w:szCs w:val="21"/>
              </w:rPr>
              <w:t>3</w:t>
            </w:r>
            <w:r>
              <w:rPr>
                <w:rFonts w:hint="eastAsia" w:ascii="仿宋" w:hAnsi="仿宋" w:eastAsia="仿宋"/>
                <w:szCs w:val="21"/>
              </w:rPr>
              <w:t>)蒙古族及三少民族的民俗事项</w:t>
            </w:r>
          </w:p>
        </w:tc>
      </w:tr>
      <w:bookmarkEnd w:id="9"/>
      <w:bookmarkEnd w:id="11"/>
    </w:tbl>
    <w:tbl>
      <w:tblPr>
        <w:tblStyle w:val="10"/>
        <w:tblpPr w:leftFromText="180" w:rightFromText="180" w:vertAnchor="text" w:horzAnchor="page" w:tblpX="1577" w:tblpY="500"/>
        <w:tblOverlap w:val="never"/>
        <w:tblW w:w="901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1755"/>
        <w:gridCol w:w="35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专业专项能力</w:t>
            </w:r>
          </w:p>
        </w:tc>
        <w:tc>
          <w:tcPr>
            <w:tcW w:w="1755"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课程</w:t>
            </w:r>
          </w:p>
        </w:tc>
        <w:tc>
          <w:tcPr>
            <w:tcW w:w="3525"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（1）熟悉了解作为一个合格导游员应具备的条件和素质。</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（2）掌握导游业务知识、导游服务程序和技巧。</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（3）树立良好的职业道德风尚。</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（4）培养独立处理问题的能力。</w:t>
            </w:r>
          </w:p>
        </w:tc>
        <w:tc>
          <w:tcPr>
            <w:tcW w:w="175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导游业务</w:t>
            </w:r>
          </w:p>
        </w:tc>
        <w:tc>
          <w:tcPr>
            <w:tcW w:w="352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导游与导游人员，导游职业道德，导游服务，导游服务规范，带团技能，游客个别要求的处理，问题和事故的预防和处理，带团过程中易发问题的处理，导游服务相关知识</w:t>
            </w:r>
            <w:r>
              <w:rPr>
                <w:rFonts w:ascii="仿宋" w:hAnsi="仿宋" w:eastAsia="仿宋"/>
                <w:szCs w:val="21"/>
              </w:rPr>
              <w:t>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（1）掌握导游服务基本技能、导游讲解技巧和特殊团队问题处理技巧。</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（2）树立良好的职业道德风尚。</w:t>
            </w:r>
          </w:p>
        </w:tc>
        <w:tc>
          <w:tcPr>
            <w:tcW w:w="175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模拟导游</w:t>
            </w:r>
          </w:p>
        </w:tc>
        <w:tc>
          <w:tcPr>
            <w:tcW w:w="352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导游服务技能、语言技能，讲解技能，特殊旅游团的导游服务和导游特长培养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（1）能够将旅游市场营销观念正确运用在旅游业中的管理与经营。</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（2）能客观分析比较旅游营销工作与其他行业营销工作的异同</w:t>
            </w:r>
            <w:r>
              <w:rPr>
                <w:rFonts w:ascii="仿宋" w:hAnsi="仿宋" w:eastAsia="仿宋"/>
                <w:szCs w:val="21"/>
              </w:rPr>
              <w:t>。</w:t>
            </w:r>
          </w:p>
        </w:tc>
        <w:tc>
          <w:tcPr>
            <w:tcW w:w="175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旅游市场营销</w:t>
            </w:r>
          </w:p>
        </w:tc>
        <w:tc>
          <w:tcPr>
            <w:tcW w:w="352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旅游市场的特点及旅游营销的基本原理，旅游产品策略，定价策略，销售渠道策略，旅游产品促销</w:t>
            </w:r>
            <w:r>
              <w:rPr>
                <w:rFonts w:ascii="仿宋" w:hAnsi="仿宋" w:eastAsia="仿宋"/>
                <w:szCs w:val="21"/>
              </w:rPr>
              <w:t>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熟练运用旅行社经营与管理理论知识开展旅行社各项实际经营与管理工作</w:t>
            </w:r>
            <w:r>
              <w:rPr>
                <w:rFonts w:ascii="仿宋" w:hAnsi="仿宋" w:eastAsia="仿宋"/>
                <w:szCs w:val="21"/>
              </w:rPr>
              <w:t>。</w:t>
            </w:r>
          </w:p>
        </w:tc>
        <w:tc>
          <w:tcPr>
            <w:tcW w:w="1755"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旅行社管理与实务</w:t>
            </w:r>
          </w:p>
        </w:tc>
        <w:tc>
          <w:tcPr>
            <w:tcW w:w="3525" w:type="dxa"/>
            <w:noWrap/>
          </w:tcPr>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旅行社的分工体系、旅行社的基本业务、旅行社的战略管理与计划管理，旅行社的创立，旅行社的市场细分与市场定位，旅行社的产品策略销售策略，中间商的选择，品牌策略和促销策略</w:t>
            </w:r>
            <w:r>
              <w:rPr>
                <w:rFonts w:ascii="仿宋" w:hAnsi="仿宋" w:eastAsia="仿宋"/>
                <w:szCs w:val="21"/>
              </w:rPr>
              <w:t>等</w:t>
            </w:r>
            <w:r>
              <w:rPr>
                <w:rFonts w:hint="eastAsia" w:ascii="仿宋" w:hAnsi="仿宋" w:eastAsia="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系统地了解旅游景区管理的相关概念、掌握景区规划、经营管理、游客管理、质量控制、设施管理、环境管理、危机管理、制度创新等方面的内容。为从事旅游景区管理工作打下基础</w:t>
            </w:r>
          </w:p>
        </w:tc>
        <w:tc>
          <w:tcPr>
            <w:tcW w:w="1755" w:type="dxa"/>
            <w:noWrap/>
            <w:vAlign w:val="center"/>
          </w:tcPr>
          <w:p>
            <w:pPr>
              <w:spacing w:line="360" w:lineRule="exact"/>
              <w:jc w:val="center"/>
              <w:rPr>
                <w:rFonts w:ascii="仿宋" w:hAnsi="仿宋" w:eastAsia="仿宋"/>
                <w:szCs w:val="21"/>
              </w:rPr>
            </w:pPr>
            <w:r>
              <w:rPr>
                <w:rFonts w:hint="eastAsia" w:ascii="仿宋" w:hAnsi="仿宋" w:eastAsia="仿宋"/>
                <w:szCs w:val="21"/>
              </w:rPr>
              <w:t>旅游景点管理</w:t>
            </w:r>
          </w:p>
        </w:tc>
        <w:tc>
          <w:tcPr>
            <w:tcW w:w="3525" w:type="dxa"/>
            <w:noWrap/>
          </w:tcPr>
          <w:p>
            <w:pPr>
              <w:rPr>
                <w:rFonts w:ascii="仿宋" w:hAnsi="仿宋" w:eastAsia="仿宋"/>
                <w:szCs w:val="21"/>
              </w:rPr>
            </w:pPr>
            <w:r>
              <w:rPr>
                <w:rFonts w:hint="eastAsia" w:ascii="仿宋" w:hAnsi="仿宋" w:eastAsia="仿宋"/>
                <w:szCs w:val="21"/>
              </w:rPr>
              <w:t>旅游景区服务管理、旅游景区容量管理、旅游景区游客体验管理、旅游景区资源管理与可持续发、旅游景区标准化管理、旅游景区营销管理</w:t>
            </w:r>
            <w:r>
              <w:rPr>
                <w:rFonts w:ascii="仿宋" w:hAnsi="仿宋" w:eastAsia="仿宋"/>
                <w:szCs w:val="21"/>
              </w:rPr>
              <w:t> </w:t>
            </w:r>
            <w:r>
              <w:rPr>
                <w:rFonts w:hint="eastAsia" w:ascii="仿宋" w:hAnsi="仿宋" w:eastAsia="仿宋"/>
                <w:szCs w:val="21"/>
              </w:rPr>
              <w:t>了解：国外旅游景区管理体系、中国景区治理模式；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numPr>
                <w:ilvl w:val="0"/>
                <w:numId w:val="6"/>
              </w:numPr>
              <w:autoSpaceDE w:val="0"/>
              <w:autoSpaceDN w:val="0"/>
              <w:adjustRightInd w:val="0"/>
              <w:ind w:left="1"/>
              <w:rPr>
                <w:rFonts w:ascii="仿宋" w:hAnsi="仿宋" w:eastAsia="仿宋" w:cs="仿宋"/>
                <w:kern w:val="0"/>
                <w:szCs w:val="21"/>
              </w:rPr>
            </w:pPr>
            <w:r>
              <w:rPr>
                <w:rFonts w:hint="eastAsia" w:ascii="仿宋" w:hAnsi="仿宋" w:eastAsia="仿宋" w:cs="仿宋"/>
                <w:kern w:val="0"/>
                <w:szCs w:val="21"/>
              </w:rPr>
              <w:t>了解酒店业的基本状况，系统掌握酒店管理的基本知识、基本理论、基本原理和科学方法，为进一步学习和研究酒店部门业务管理以及从事与酒店业相关工作提供必要的知识准备；</w:t>
            </w:r>
          </w:p>
          <w:p>
            <w:pPr>
              <w:numPr>
                <w:ilvl w:val="0"/>
                <w:numId w:val="6"/>
              </w:numPr>
              <w:autoSpaceDE w:val="0"/>
              <w:autoSpaceDN w:val="0"/>
              <w:adjustRightInd w:val="0"/>
              <w:ind w:left="1"/>
              <w:rPr>
                <w:rFonts w:ascii="仿宋" w:hAnsi="仿宋" w:eastAsia="仿宋" w:cs="仿宋"/>
                <w:kern w:val="0"/>
                <w:szCs w:val="21"/>
              </w:rPr>
            </w:pPr>
            <w:r>
              <w:rPr>
                <w:rFonts w:hint="eastAsia" w:ascii="仿宋" w:hAnsi="仿宋" w:eastAsia="仿宋" w:cs="仿宋"/>
                <w:kern w:val="0"/>
                <w:szCs w:val="21"/>
              </w:rPr>
              <w:t>了解酒店业的基本状况，系统掌握酒店管理的基本知识和科学方法，为进一步学习和研究酒店部门业务管理以及毕业后从事与旅游酒店业相关工作打好基础；</w:t>
            </w:r>
          </w:p>
          <w:p>
            <w:pPr>
              <w:autoSpaceDE w:val="0"/>
              <w:autoSpaceDN w:val="0"/>
              <w:adjustRightInd w:val="0"/>
              <w:rPr>
                <w:rFonts w:ascii="仿宋" w:hAnsi="仿宋" w:eastAsia="仿宋" w:cs="仿宋"/>
                <w:kern w:val="0"/>
                <w:szCs w:val="21"/>
              </w:rPr>
            </w:pPr>
            <w:r>
              <w:rPr>
                <w:rFonts w:hint="eastAsia" w:ascii="仿宋" w:hAnsi="仿宋" w:eastAsia="仿宋" w:cs="仿宋"/>
                <w:kern w:val="0"/>
                <w:szCs w:val="21"/>
              </w:rPr>
              <w:t>（3）能系统掌握酒店的组织结构、岗位职责、基本管理方法，能为基层管工作起到理论指导的作用；</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cs="仿宋"/>
                <w:kern w:val="0"/>
                <w:szCs w:val="21"/>
              </w:rPr>
              <w:t>（4）掌握酒店各岗位经营和管理流程；（5）了解现代酒店发展的主要发展趋势以及市场运营状况等。</w:t>
            </w:r>
          </w:p>
        </w:tc>
        <w:tc>
          <w:tcPr>
            <w:tcW w:w="1755" w:type="dxa"/>
            <w:noWrap/>
            <w:vAlign w:val="center"/>
          </w:tcPr>
          <w:p>
            <w:pPr>
              <w:spacing w:line="360" w:lineRule="exact"/>
              <w:jc w:val="center"/>
              <w:rPr>
                <w:rFonts w:ascii="仿宋" w:hAnsi="仿宋" w:eastAsia="仿宋"/>
                <w:szCs w:val="21"/>
              </w:rPr>
            </w:pPr>
            <w:r>
              <w:rPr>
                <w:rFonts w:hint="eastAsia" w:ascii="仿宋" w:hAnsi="仿宋" w:eastAsia="仿宋"/>
                <w:szCs w:val="21"/>
              </w:rPr>
              <w:t>酒店管理基础</w:t>
            </w:r>
          </w:p>
          <w:p>
            <w:pPr>
              <w:spacing w:line="360" w:lineRule="exact"/>
              <w:jc w:val="center"/>
              <w:rPr>
                <w:rFonts w:ascii="仿宋" w:hAnsi="仿宋" w:eastAsia="仿宋"/>
                <w:szCs w:val="21"/>
              </w:rPr>
            </w:pPr>
            <w:r>
              <w:rPr>
                <w:rFonts w:hint="eastAsia" w:ascii="仿宋" w:hAnsi="仿宋" w:eastAsia="仿宋"/>
                <w:szCs w:val="21"/>
              </w:rPr>
              <w:t>与实务</w:t>
            </w:r>
          </w:p>
        </w:tc>
        <w:tc>
          <w:tcPr>
            <w:tcW w:w="3525" w:type="dxa"/>
            <w:noWrap/>
          </w:tcPr>
          <w:p>
            <w:pPr>
              <w:autoSpaceDE w:val="0"/>
              <w:autoSpaceDN w:val="0"/>
              <w:adjustRightInd w:val="0"/>
              <w:spacing w:line="400" w:lineRule="exact"/>
              <w:ind w:left="1"/>
              <w:rPr>
                <w:rFonts w:ascii="仿宋" w:hAnsi="仿宋" w:eastAsia="仿宋" w:cs="仿宋"/>
                <w:kern w:val="0"/>
                <w:szCs w:val="21"/>
              </w:rPr>
            </w:pPr>
            <w:r>
              <w:rPr>
                <w:rFonts w:hint="eastAsia" w:ascii="仿宋" w:hAnsi="仿宋" w:eastAsia="仿宋" w:cs="仿宋"/>
                <w:kern w:val="0"/>
                <w:szCs w:val="21"/>
              </w:rPr>
              <w:t>课程把酒店管理划分为职能管理和业务管理两大主题，围绕着现代饭店管理理论、饭店计划与组织管理、饭店营销管理、饭店人力资源管理、饭店财务管理、饭店前厅管理、饭店客房管理、饭店餐饮管理、饭店康乐服务管理、饭店安全管理、饭店设备管理等方面进行了系统的介绍。</w:t>
            </w:r>
          </w:p>
          <w:p>
            <w:pPr>
              <w:tabs>
                <w:tab w:val="center" w:pos="4153"/>
                <w:tab w:val="right" w:pos="8306"/>
              </w:tabs>
              <w:snapToGrid w:val="0"/>
              <w:spacing w:line="300" w:lineRule="exact"/>
              <w:outlineLvl w:val="3"/>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rPr>
                <w:rFonts w:ascii="仿宋" w:hAnsi="仿宋" w:eastAsia="仿宋"/>
                <w:szCs w:val="21"/>
              </w:rPr>
            </w:pPr>
            <w:r>
              <w:rPr>
                <w:rFonts w:hint="eastAsia" w:ascii="仿宋" w:hAnsi="仿宋" w:eastAsia="仿宋"/>
                <w:szCs w:val="21"/>
              </w:rPr>
              <w:t>掌握计调岗位工作程序与技能，通过反复实践，使学生能够操作计调业务，并且能使学生树立良好的工作态度，具备从事计调工作的素质，在此基础上形成相应职业能力。</w:t>
            </w:r>
          </w:p>
        </w:tc>
        <w:tc>
          <w:tcPr>
            <w:tcW w:w="1755" w:type="dxa"/>
            <w:noWrap/>
            <w:vAlign w:val="center"/>
          </w:tcPr>
          <w:p>
            <w:pPr>
              <w:spacing w:line="360" w:lineRule="exact"/>
              <w:jc w:val="center"/>
              <w:rPr>
                <w:rFonts w:ascii="仿宋" w:hAnsi="仿宋" w:eastAsia="仿宋"/>
                <w:szCs w:val="21"/>
              </w:rPr>
            </w:pPr>
            <w:r>
              <w:rPr>
                <w:rFonts w:hint="eastAsia" w:ascii="仿宋" w:hAnsi="仿宋" w:eastAsia="仿宋"/>
                <w:szCs w:val="21"/>
              </w:rPr>
              <w:t>旅行社计调业务</w:t>
            </w:r>
          </w:p>
        </w:tc>
        <w:tc>
          <w:tcPr>
            <w:tcW w:w="352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旅行社计调工作内容、以零售为主的旅行社计调、以批发为主的旅行社计调、以地接为主的旅行社计调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tcPr>
          <w:p>
            <w:pPr>
              <w:rPr>
                <w:rFonts w:ascii="仿宋" w:hAnsi="仿宋" w:eastAsia="仿宋"/>
                <w:szCs w:val="21"/>
              </w:rPr>
            </w:pPr>
            <w:r>
              <w:rPr>
                <w:rFonts w:hint="eastAsia" w:ascii="仿宋" w:hAnsi="仿宋" w:eastAsia="仿宋" w:cs="仿宋"/>
                <w:szCs w:val="21"/>
                <w:shd w:val="clear" w:color="auto" w:fill="FFFFFF"/>
              </w:rPr>
              <w:t>掌握旅游规划与开发的理论基础与技术方法、了解中外旅游规划与开发的回顾与展望、掌握旅游资源的分类与评价、熟悉旅游规划与开发的市场分析与营销策划、知道旅游规划与开发的主题定位和功能分区、掌握旅游规划与开发的项目创意设计、能够对旅游规划与开发的可行性分析、能够旅游开发的保障体系规划和旅游规划图件及其制作</w:t>
            </w:r>
          </w:p>
        </w:tc>
        <w:tc>
          <w:tcPr>
            <w:tcW w:w="1755" w:type="dxa"/>
            <w:noWrap/>
            <w:vAlign w:val="center"/>
          </w:tcPr>
          <w:p>
            <w:pPr>
              <w:tabs>
                <w:tab w:val="left" w:pos="258"/>
              </w:tabs>
              <w:spacing w:line="360" w:lineRule="exact"/>
              <w:jc w:val="left"/>
              <w:rPr>
                <w:rFonts w:ascii="仿宋" w:hAnsi="仿宋" w:eastAsia="仿宋"/>
                <w:szCs w:val="21"/>
              </w:rPr>
            </w:pPr>
            <w:r>
              <w:rPr>
                <w:rFonts w:hint="eastAsia" w:ascii="仿宋" w:hAnsi="仿宋" w:eastAsia="仿宋"/>
                <w:szCs w:val="21"/>
              </w:rPr>
              <w:t>旅游产品规划与开发</w:t>
            </w:r>
          </w:p>
        </w:tc>
        <w:tc>
          <w:tcPr>
            <w:tcW w:w="352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cs="仿宋"/>
                <w:szCs w:val="21"/>
                <w:shd w:val="clear" w:color="auto" w:fill="FFFFFF"/>
              </w:rPr>
              <w:t>旅游规划与开发的概念体系、旅游规划与开发的理论基础与技术方法、中外旅游规划与开发的回顾与展望、旅游资源的分类与评价、旅游规划与开发的市场分析与营销策划、旅游规划与开发的主题定位和功能分区、旅游规划与开发的项目创意设计、旅游规划与开发的可行性分析、旅游开发的保障体系规划和旅游规划图件及其制作</w:t>
            </w: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10"/>
        <w:tblpPr w:leftFromText="180" w:rightFromText="180" w:vertAnchor="text" w:horzAnchor="page" w:tblpX="1652" w:tblpY="493"/>
        <w:tblOverlap w:val="never"/>
        <w:tblW w:w="91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8"/>
        <w:gridCol w:w="1747"/>
        <w:gridCol w:w="42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3118"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1747"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254"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3118"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（1）熟悉毕业后工作的岗位，促进学生学习的积极性。</w:t>
            </w: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tc>
        <w:tc>
          <w:tcPr>
            <w:tcW w:w="1747" w:type="dxa"/>
            <w:noWrap/>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《认知实习》</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tc>
        <w:tc>
          <w:tcPr>
            <w:tcW w:w="4254"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⑴对旅行社、旅游饭店和其他旅游企业的各个岗位认识。</w:t>
            </w:r>
          </w:p>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⑵了解旅行社、旅游饭店和其他旅游企业岗位职责。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1" w:hRule="atLeast"/>
        </w:trPr>
        <w:tc>
          <w:tcPr>
            <w:tcW w:w="3118"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（2）培养学生的思维和观察能力，加深对工作过程的认识，养成遵章守纪的好习惯。</w:t>
            </w:r>
          </w:p>
        </w:tc>
        <w:tc>
          <w:tcPr>
            <w:tcW w:w="1747" w:type="dxa"/>
            <w:noWrap/>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《专业实习、实训 》</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tc>
        <w:tc>
          <w:tcPr>
            <w:tcW w:w="4254"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szCs w:val="21"/>
              </w:rPr>
              <w:t>重要实践环节。在第二学期末暑假在兴安盟内的旅游企业进行相关岗位的跟岗实习。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87" w:hRule="atLeast"/>
        </w:trPr>
        <w:tc>
          <w:tcPr>
            <w:tcW w:w="3118"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（3）培养学生的思维和观察能力，加深对工作过程的认识，养成遵章守纪的好习惯，为实际操作专业知识，综合运用知识解决实际问题及毕业后从事具体工作打下扎实的基础。</w:t>
            </w:r>
          </w:p>
        </w:tc>
        <w:tc>
          <w:tcPr>
            <w:tcW w:w="1747" w:type="dxa"/>
            <w:noWrap/>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《顶岗实习》</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tc>
        <w:tc>
          <w:tcPr>
            <w:tcW w:w="4254" w:type="dxa"/>
            <w:noWrap/>
          </w:tcPr>
          <w:p>
            <w:pPr>
              <w:jc w:val="left"/>
              <w:rPr>
                <w:rFonts w:ascii="仿宋" w:hAnsi="仿宋" w:eastAsia="仿宋" w:cs="仿宋"/>
                <w:szCs w:val="21"/>
              </w:rPr>
            </w:pPr>
            <w:r>
              <w:rPr>
                <w:rFonts w:hint="eastAsia" w:ascii="仿宋" w:hAnsi="仿宋" w:eastAsia="仿宋" w:cs="仿宋"/>
                <w:kern w:val="0"/>
                <w:szCs w:val="21"/>
              </w:rPr>
              <w:t>重要实践环节。</w:t>
            </w:r>
            <w:r>
              <w:rPr>
                <w:rFonts w:hint="eastAsia" w:ascii="仿宋" w:hAnsi="仿宋" w:eastAsia="仿宋" w:cs="仿宋"/>
                <w:szCs w:val="21"/>
              </w:rPr>
              <w:t>根据我专业特色在第四学期后六周和暑假和第五学期（旅游旺季）进行顶岗实习。</w:t>
            </w: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kern w:val="0"/>
                <w:szCs w:val="21"/>
              </w:rPr>
            </w:pPr>
          </w:p>
          <w:p>
            <w:pPr>
              <w:tabs>
                <w:tab w:val="center" w:pos="4153"/>
                <w:tab w:val="right" w:pos="8306"/>
              </w:tabs>
              <w:snapToGrid w:val="0"/>
              <w:spacing w:line="500" w:lineRule="exact"/>
              <w:outlineLvl w:val="3"/>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26" w:hRule="atLeast"/>
        </w:trPr>
        <w:tc>
          <w:tcPr>
            <w:tcW w:w="3118"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（4）根据所学理论知识与实践技能融会贯通产生各自学习领域的新思想。</w:t>
            </w:r>
          </w:p>
        </w:tc>
        <w:tc>
          <w:tcPr>
            <w:tcW w:w="1747" w:type="dxa"/>
            <w:noWrap/>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w:t>
            </w:r>
          </w:p>
          <w:p>
            <w:pPr>
              <w:tabs>
                <w:tab w:val="center" w:pos="4153"/>
                <w:tab w:val="right" w:pos="8306"/>
              </w:tabs>
              <w:snapToGrid w:val="0"/>
              <w:spacing w:line="500" w:lineRule="exact"/>
              <w:rPr>
                <w:rFonts w:ascii="仿宋" w:hAnsi="仿宋" w:eastAsia="仿宋" w:cs="仿宋"/>
                <w:kern w:val="0"/>
                <w:szCs w:val="21"/>
              </w:rPr>
            </w:pPr>
          </w:p>
        </w:tc>
        <w:tc>
          <w:tcPr>
            <w:tcW w:w="4254" w:type="dxa"/>
            <w:noWrap/>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理论提升环节。第六学期进行毕业设计。</w:t>
            </w:r>
          </w:p>
        </w:tc>
      </w:tr>
    </w:tbl>
    <w:p>
      <w:pPr>
        <w:pStyle w:val="3"/>
        <w:spacing w:beforeLines="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10"/>
        <w:tblpPr w:leftFromText="180" w:rightFromText="180" w:vertAnchor="text" w:horzAnchor="page" w:tblpX="1697" w:tblpY="495"/>
        <w:tblOverlap w:val="never"/>
        <w:tblW w:w="910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05"/>
        <w:gridCol w:w="174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340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174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6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00" w:hRule="atLeast"/>
        </w:trPr>
        <w:tc>
          <w:tcPr>
            <w:tcW w:w="3405" w:type="dxa"/>
            <w:noWrap/>
          </w:tcPr>
          <w:p>
            <w:pPr>
              <w:rPr>
                <w:rFonts w:ascii="仿宋" w:hAnsi="仿宋" w:eastAsia="仿宋"/>
                <w:szCs w:val="21"/>
              </w:rPr>
            </w:pPr>
            <w:r>
              <w:rPr>
                <w:rFonts w:hint="eastAsia" w:ascii="仿宋" w:hAnsi="仿宋" w:eastAsia="仿宋"/>
                <w:szCs w:val="21"/>
              </w:rPr>
              <w:t>(1)掌握旅游电子商务的基础概念.</w:t>
            </w:r>
          </w:p>
          <w:p>
            <w:pPr>
              <w:rPr>
                <w:rFonts w:ascii="仿宋" w:hAnsi="仿宋" w:eastAsia="仿宋"/>
                <w:szCs w:val="21"/>
              </w:rPr>
            </w:pPr>
            <w:r>
              <w:rPr>
                <w:rFonts w:hint="eastAsia" w:ascii="仿宋" w:hAnsi="仿宋" w:eastAsia="仿宋"/>
                <w:szCs w:val="21"/>
              </w:rPr>
              <w:t>(2)了解旅游电子商务的基本技术和要求，以及旅游电子商务所处的社会和法律环境.</w:t>
            </w:r>
          </w:p>
          <w:p>
            <w:pPr>
              <w:rPr>
                <w:rFonts w:ascii="仿宋" w:hAnsi="仿宋" w:eastAsia="仿宋"/>
                <w:szCs w:val="21"/>
              </w:rPr>
            </w:pPr>
            <w:r>
              <w:rPr>
                <w:rFonts w:hint="eastAsia" w:ascii="仿宋" w:hAnsi="仿宋" w:eastAsia="仿宋"/>
                <w:szCs w:val="21"/>
              </w:rPr>
              <w:t>(3)弄清旅游电子商务的实质和内容</w:t>
            </w:r>
          </w:p>
        </w:tc>
        <w:tc>
          <w:tcPr>
            <w:tcW w:w="1740" w:type="dxa"/>
            <w:noWrap/>
            <w:vAlign w:val="center"/>
          </w:tcPr>
          <w:p>
            <w:pPr>
              <w:spacing w:line="360" w:lineRule="exact"/>
              <w:jc w:val="center"/>
              <w:rPr>
                <w:rFonts w:ascii="仿宋" w:hAnsi="仿宋" w:eastAsia="仿宋"/>
                <w:szCs w:val="21"/>
              </w:rPr>
            </w:pPr>
            <w:r>
              <w:rPr>
                <w:rFonts w:hint="eastAsia" w:ascii="仿宋" w:hAnsi="仿宋" w:eastAsia="仿宋"/>
                <w:szCs w:val="21"/>
              </w:rPr>
              <w:t>旅游电子商务</w:t>
            </w:r>
          </w:p>
        </w:tc>
        <w:tc>
          <w:tcPr>
            <w:tcW w:w="3960" w:type="dxa"/>
            <w:noWrap/>
          </w:tcPr>
          <w:p>
            <w:pPr>
              <w:rPr>
                <w:rFonts w:ascii="仿宋" w:hAnsi="仿宋" w:eastAsia="仿宋"/>
                <w:szCs w:val="21"/>
              </w:rPr>
            </w:pPr>
            <w:r>
              <w:rPr>
                <w:rFonts w:hint="eastAsia" w:ascii="仿宋" w:hAnsi="仿宋" w:eastAsia="仿宋"/>
                <w:szCs w:val="21"/>
              </w:rPr>
              <w:t>旅游电子商务基本概念，基础理论和方法，全面了解并熟悉饭店、旅行社、景区以及旅游管理部门旅游电子商务应用的基本内容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31" w:hRule="atLeast"/>
        </w:trPr>
        <w:tc>
          <w:tcPr>
            <w:tcW w:w="340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正确理解旅游企业会计概念、原理与内容，并能简单的加以运用于实际情况的分析，从而更好地为旅游企业的财务活动提供较好的决策管理。</w:t>
            </w:r>
          </w:p>
          <w:p>
            <w:pPr>
              <w:tabs>
                <w:tab w:val="center" w:pos="4153"/>
                <w:tab w:val="right" w:pos="8306"/>
              </w:tabs>
              <w:snapToGrid w:val="0"/>
              <w:spacing w:before="156" w:beforeLines="50" w:after="156" w:afterLines="50" w:line="300" w:lineRule="exact"/>
              <w:outlineLvl w:val="3"/>
              <w:rPr>
                <w:rFonts w:ascii="仿宋" w:hAnsi="仿宋" w:eastAsia="仿宋"/>
                <w:szCs w:val="21"/>
              </w:rPr>
            </w:pP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旅游会计</w:t>
            </w:r>
          </w:p>
        </w:tc>
        <w:tc>
          <w:tcPr>
            <w:tcW w:w="3960" w:type="dxa"/>
            <w:noWrap/>
          </w:tcPr>
          <w:p>
            <w:pPr>
              <w:tabs>
                <w:tab w:val="center" w:pos="4153"/>
                <w:tab w:val="right" w:pos="8306"/>
              </w:tabs>
              <w:snapToGrid w:val="0"/>
              <w:spacing w:line="300" w:lineRule="exact"/>
              <w:outlineLvl w:val="3"/>
              <w:rPr>
                <w:rFonts w:ascii="仿宋" w:hAnsi="仿宋" w:eastAsia="仿宋"/>
                <w:szCs w:val="21"/>
              </w:rPr>
            </w:pPr>
            <w:r>
              <w:rPr>
                <w:rFonts w:ascii="仿宋" w:hAnsi="仿宋" w:eastAsia="仿宋"/>
                <w:szCs w:val="21"/>
              </w:rPr>
              <w:t>会计核算基础、资产的核算负债的核算、所有者权益的核算、旅行社经营业务的核算、酒店经营业务的核算</w:t>
            </w:r>
            <w:r>
              <w:rPr>
                <w:rFonts w:hint="eastAsia" w:ascii="仿宋" w:hAnsi="仿宋" w:eastAsia="仿宋"/>
                <w:szCs w:val="21"/>
              </w:rPr>
              <w:t>、</w:t>
            </w:r>
            <w:r>
              <w:rPr>
                <w:rFonts w:ascii="仿宋" w:hAnsi="仿宋" w:eastAsia="仿宋"/>
                <w:szCs w:val="21"/>
              </w:rPr>
              <w:t>财务管理基础、旅游企业筹资管理、旅游企业投资管理、旅游企业成本费用管理、旅游企业经济活动分析。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3405" w:type="dxa"/>
            <w:noWrap/>
          </w:tcPr>
          <w:p>
            <w:pPr>
              <w:jc w:val="left"/>
              <w:rPr>
                <w:rFonts w:ascii="仿宋" w:hAnsi="仿宋" w:eastAsia="仿宋" w:cs="仿宋"/>
                <w:szCs w:val="21"/>
              </w:rPr>
            </w:pPr>
            <w:r>
              <w:rPr>
                <w:rFonts w:hint="eastAsia" w:ascii="仿宋" w:hAnsi="仿宋" w:eastAsia="仿宋" w:cs="仿宋"/>
                <w:szCs w:val="21"/>
              </w:rPr>
              <w:t>通过学习，了解和掌握旅游传播的内涵，类型及形式，利用现代化手段熟练运用旅游传播手段</w:t>
            </w:r>
          </w:p>
        </w:tc>
        <w:tc>
          <w:tcPr>
            <w:tcW w:w="1740" w:type="dxa"/>
            <w:noWrap/>
            <w:vAlign w:val="center"/>
          </w:tcPr>
          <w:p>
            <w:pPr>
              <w:jc w:val="center"/>
              <w:rPr>
                <w:rFonts w:ascii="仿宋" w:hAnsi="仿宋" w:eastAsia="仿宋" w:cs="仿宋"/>
                <w:szCs w:val="21"/>
              </w:rPr>
            </w:pPr>
            <w:r>
              <w:rPr>
                <w:rFonts w:hint="eastAsia" w:ascii="仿宋" w:hAnsi="仿宋" w:eastAsia="仿宋" w:cs="仿宋"/>
                <w:szCs w:val="21"/>
              </w:rPr>
              <w:t>旅游传播原理与实务</w:t>
            </w:r>
          </w:p>
        </w:tc>
        <w:tc>
          <w:tcPr>
            <w:tcW w:w="3960" w:type="dxa"/>
            <w:noWrap/>
          </w:tcPr>
          <w:p>
            <w:pPr>
              <w:jc w:val="left"/>
              <w:rPr>
                <w:rFonts w:ascii="仿宋" w:hAnsi="仿宋" w:eastAsia="仿宋" w:cs="仿宋"/>
                <w:szCs w:val="21"/>
              </w:rPr>
            </w:pPr>
            <w:r>
              <w:rPr>
                <w:rFonts w:hint="eastAsia" w:ascii="仿宋" w:hAnsi="仿宋" w:eastAsia="仿宋" w:cs="仿宋"/>
                <w:szCs w:val="21"/>
              </w:rPr>
              <w:t>旅游传播的定义、特点、类型及传播方式、手段。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340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w:t>
            </w:r>
            <w:r>
              <w:rPr>
                <w:rFonts w:ascii="仿宋" w:hAnsi="仿宋" w:eastAsia="仿宋"/>
                <w:szCs w:val="21"/>
              </w:rPr>
              <w:t>了解多方面的旅游英语知识</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szCs w:val="21"/>
              </w:rPr>
              <w:t>（2）</w:t>
            </w:r>
            <w:r>
              <w:rPr>
                <w:rFonts w:ascii="仿宋" w:hAnsi="仿宋" w:eastAsia="仿宋"/>
                <w:szCs w:val="21"/>
              </w:rPr>
              <w:t>通过酒店日常情景交流的教学使学生具有初步英语对话的能力</w:t>
            </w:r>
            <w:r>
              <w:rPr>
                <w:rFonts w:hint="eastAsia" w:ascii="仿宋" w:hAnsi="仿宋" w:eastAsia="仿宋"/>
                <w:szCs w:val="21"/>
              </w:rPr>
              <w:t>。</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cs="仿宋"/>
                <w:kern w:val="0"/>
                <w:szCs w:val="21"/>
              </w:rPr>
            </w:pPr>
            <w:r>
              <w:rPr>
                <w:rFonts w:hint="eastAsia" w:ascii="仿宋" w:hAnsi="仿宋" w:eastAsia="仿宋"/>
                <w:szCs w:val="21"/>
              </w:rPr>
              <w:t>旅游英语</w:t>
            </w:r>
          </w:p>
        </w:tc>
        <w:tc>
          <w:tcPr>
            <w:tcW w:w="3960"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w:t>
            </w:r>
            <w:r>
              <w:rPr>
                <w:rFonts w:ascii="仿宋" w:hAnsi="仿宋" w:eastAsia="仿宋"/>
                <w:szCs w:val="21"/>
              </w:rPr>
              <w:t>导游英语，介绍风景名胜以及包括一些实用商业信函的写作</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szCs w:val="21"/>
              </w:rPr>
              <w:t>（2）酒店日常英语包括</w:t>
            </w:r>
            <w:r>
              <w:rPr>
                <w:rFonts w:ascii="仿宋" w:hAnsi="仿宋" w:eastAsia="仿宋"/>
                <w:szCs w:val="21"/>
              </w:rPr>
              <w:t>前厅与客房、餐饮、康乐等部门的日常英语对话。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340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w:t>
            </w:r>
            <w:r>
              <w:rPr>
                <w:rFonts w:ascii="仿宋" w:hAnsi="仿宋" w:eastAsia="仿宋"/>
                <w:szCs w:val="21"/>
              </w:rPr>
              <w:t>具备餐饮部门各服务岗位的基本操作技能</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w:t>
            </w:r>
            <w:r>
              <w:rPr>
                <w:rFonts w:ascii="仿宋" w:hAnsi="仿宋" w:eastAsia="仿宋"/>
                <w:szCs w:val="21"/>
              </w:rPr>
              <w:t>具备主题餐饮活动策划、服务质量控制、餐饮成本核算，处理意外事件的能力。</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（3）</w:t>
            </w:r>
            <w:r>
              <w:rPr>
                <w:rFonts w:ascii="仿宋" w:hAnsi="仿宋" w:eastAsia="仿宋"/>
                <w:szCs w:val="21"/>
              </w:rPr>
              <w:t>达到中级服务员水平。</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餐饮服务与管理</w:t>
            </w:r>
          </w:p>
        </w:tc>
        <w:tc>
          <w:tcPr>
            <w:tcW w:w="3960"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w:t>
            </w:r>
            <w:r>
              <w:rPr>
                <w:rFonts w:ascii="仿宋" w:hAnsi="仿宋" w:eastAsia="仿宋"/>
                <w:szCs w:val="21"/>
              </w:rPr>
              <w:t>托盘、斟酒、上菜与分菜、餐巾折花、铺台布、摆台等六大操作技能</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w:t>
            </w:r>
            <w:r>
              <w:rPr>
                <w:rFonts w:ascii="仿宋" w:hAnsi="仿宋" w:eastAsia="仿宋"/>
                <w:szCs w:val="21"/>
              </w:rPr>
              <w:t>预订餐位、迎客准备、推荐菜肴、席间服务、收银服务、收尾服务、日志填写等零点餐厅服务规范和宴会服务规范</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（3）</w:t>
            </w:r>
            <w:r>
              <w:rPr>
                <w:rFonts w:ascii="仿宋" w:hAnsi="仿宋" w:eastAsia="仿宋"/>
                <w:szCs w:val="21"/>
              </w:rPr>
              <w:t>餐饮经营中的产品设计、菜单设计与制作、食品营养搭配、食品采购与保管、厨房生产与成本控制、餐饮成本控制。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3405" w:type="dxa"/>
            <w:noWrap/>
          </w:tcPr>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（1）</w:t>
            </w:r>
            <w:r>
              <w:rPr>
                <w:rFonts w:ascii="仿宋" w:hAnsi="仿宋" w:eastAsia="仿宋"/>
                <w:szCs w:val="21"/>
              </w:rPr>
              <w:t>具备前厅、客房、餐饮等业务部门各基层服务岗位的基本操作技能</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（2）</w:t>
            </w:r>
            <w:r>
              <w:rPr>
                <w:rFonts w:ascii="仿宋" w:hAnsi="仿宋" w:eastAsia="仿宋"/>
                <w:szCs w:val="21"/>
              </w:rPr>
              <w:t>解决意外事件的能力</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（3）</w:t>
            </w:r>
            <w:r>
              <w:rPr>
                <w:rFonts w:ascii="仿宋" w:hAnsi="仿宋" w:eastAsia="仿宋"/>
                <w:szCs w:val="21"/>
              </w:rPr>
              <w:t>分析客房数据的能力</w:t>
            </w:r>
            <w:r>
              <w:rPr>
                <w:rFonts w:hint="eastAsia" w:ascii="仿宋" w:hAnsi="仿宋" w:eastAsia="仿宋"/>
                <w:szCs w:val="21"/>
              </w:rPr>
              <w:t>。</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（4）</w:t>
            </w:r>
            <w:r>
              <w:rPr>
                <w:rFonts w:ascii="仿宋" w:hAnsi="仿宋" w:eastAsia="仿宋"/>
                <w:szCs w:val="21"/>
              </w:rPr>
              <w:t>前厅客房服务质量管理的能力</w:t>
            </w:r>
            <w:r>
              <w:rPr>
                <w:rFonts w:hint="eastAsia" w:ascii="仿宋" w:hAnsi="仿宋" w:eastAsia="仿宋"/>
                <w:szCs w:val="21"/>
              </w:rPr>
              <w:t>。（5）</w:t>
            </w:r>
            <w:r>
              <w:rPr>
                <w:rFonts w:ascii="仿宋" w:hAnsi="仿宋" w:eastAsia="仿宋"/>
                <w:szCs w:val="21"/>
              </w:rPr>
              <w:t>设备物资管理的能力以及成本控制的能力。</w:t>
            </w:r>
          </w:p>
          <w:p>
            <w:pPr>
              <w:tabs>
                <w:tab w:val="center" w:pos="4153"/>
                <w:tab w:val="right" w:pos="8306"/>
              </w:tabs>
              <w:snapToGrid w:val="0"/>
              <w:spacing w:line="300" w:lineRule="exact"/>
              <w:outlineLvl w:val="3"/>
              <w:rPr>
                <w:rFonts w:ascii="仿宋" w:hAnsi="仿宋" w:eastAsia="仿宋"/>
                <w:szCs w:val="21"/>
              </w:rPr>
            </w:pPr>
            <w:r>
              <w:rPr>
                <w:rFonts w:hint="eastAsia" w:ascii="仿宋" w:hAnsi="仿宋" w:eastAsia="仿宋"/>
                <w:szCs w:val="21"/>
              </w:rPr>
              <w:t>（6）</w:t>
            </w:r>
            <w:r>
              <w:rPr>
                <w:rFonts w:ascii="仿宋" w:hAnsi="仿宋" w:eastAsia="仿宋"/>
                <w:szCs w:val="21"/>
              </w:rPr>
              <w:t>达到中级服务员水平</w:t>
            </w:r>
            <w:r>
              <w:rPr>
                <w:rFonts w:hint="eastAsia" w:ascii="仿宋" w:hAnsi="仿宋" w:eastAsia="仿宋"/>
                <w:szCs w:val="21"/>
              </w:rPr>
              <w:t>。</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前厅服务、客房服务与管理</w:t>
            </w:r>
          </w:p>
        </w:tc>
        <w:tc>
          <w:tcPr>
            <w:tcW w:w="3960" w:type="dxa"/>
            <w:noWrap/>
          </w:tcPr>
          <w:p>
            <w:pPr>
              <w:tabs>
                <w:tab w:val="center" w:pos="4153"/>
                <w:tab w:val="right" w:pos="8306"/>
              </w:tabs>
              <w:snapToGrid w:val="0"/>
              <w:spacing w:line="300" w:lineRule="exact"/>
              <w:outlineLvl w:val="3"/>
              <w:rPr>
                <w:rFonts w:ascii="仿宋" w:hAnsi="仿宋" w:eastAsia="仿宋"/>
                <w:szCs w:val="21"/>
              </w:rPr>
            </w:pPr>
            <w:r>
              <w:rPr>
                <w:rFonts w:ascii="仿宋" w:hAnsi="仿宋" w:eastAsia="仿宋"/>
                <w:szCs w:val="21"/>
              </w:rPr>
              <w:t>前厅预订、接待、行李、问讯、收银、话务、打印、复印工作以及中西式铺床、房间清扫</w:t>
            </w:r>
            <w:r>
              <w:rPr>
                <w:rFonts w:hint="eastAsia" w:ascii="仿宋" w:hAnsi="仿宋" w:eastAsia="仿宋"/>
                <w:szCs w:val="21"/>
              </w:rPr>
              <w:t>、VIP房服务、酒吧服务、会议服务自己</w:t>
            </w:r>
            <w:r>
              <w:rPr>
                <w:rFonts w:ascii="仿宋" w:hAnsi="仿宋" w:eastAsia="仿宋"/>
                <w:szCs w:val="21"/>
              </w:rPr>
              <w:t>客房服务所需的基本知识和基本技能。酒店房务管理导论，客房产品设计，客房价格制定，前台客房销售，前厅服务质量管理，客房服务质量管理，客房清洁保养，客房设备物资管理，客房经营效益分析等。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03" w:hRule="atLeast"/>
        </w:trPr>
        <w:tc>
          <w:tcPr>
            <w:tcW w:w="3405" w:type="dxa"/>
            <w:noWrap/>
          </w:tcPr>
          <w:p>
            <w:pPr>
              <w:rPr>
                <w:rFonts w:ascii="仿宋" w:hAnsi="仿宋" w:eastAsia="仿宋"/>
                <w:szCs w:val="21"/>
              </w:rPr>
            </w:pPr>
            <w:r>
              <w:rPr>
                <w:rFonts w:hint="eastAsia" w:ascii="仿宋" w:hAnsi="仿宋" w:eastAsia="仿宋"/>
                <w:szCs w:val="21"/>
              </w:rPr>
              <w:t>(1)综合训练学生的蒙古语的读、说、写等的基本技能。</w:t>
            </w:r>
            <w:r>
              <w:rPr>
                <w:rFonts w:ascii="仿宋" w:hAnsi="仿宋" w:eastAsia="仿宋"/>
                <w:szCs w:val="21"/>
              </w:rPr>
              <w:t> </w:t>
            </w:r>
          </w:p>
          <w:p>
            <w:pPr>
              <w:rPr>
                <w:rFonts w:ascii="仿宋" w:hAnsi="仿宋" w:eastAsia="仿宋"/>
                <w:szCs w:val="21"/>
              </w:rPr>
            </w:pPr>
            <w:r>
              <w:rPr>
                <w:rFonts w:hint="eastAsia" w:ascii="仿宋" w:hAnsi="仿宋" w:eastAsia="仿宋"/>
                <w:szCs w:val="21"/>
              </w:rPr>
              <w:t>(2)达到基本的口语表达能力和日常会话交流能力。</w:t>
            </w:r>
          </w:p>
        </w:tc>
        <w:tc>
          <w:tcPr>
            <w:tcW w:w="1740" w:type="dxa"/>
            <w:noWrap/>
            <w:vAlign w:val="center"/>
          </w:tcPr>
          <w:p>
            <w:pPr>
              <w:spacing w:line="360" w:lineRule="exact"/>
              <w:jc w:val="center"/>
              <w:rPr>
                <w:rFonts w:ascii="仿宋" w:hAnsi="仿宋" w:eastAsia="仿宋"/>
                <w:szCs w:val="21"/>
              </w:rPr>
            </w:pPr>
            <w:r>
              <w:rPr>
                <w:rFonts w:hint="eastAsia" w:ascii="仿宋" w:hAnsi="仿宋" w:eastAsia="仿宋"/>
                <w:szCs w:val="21"/>
              </w:rPr>
              <w:t>实用蒙古语</w:t>
            </w:r>
          </w:p>
        </w:tc>
        <w:tc>
          <w:tcPr>
            <w:tcW w:w="3960" w:type="dxa"/>
            <w:noWrap/>
          </w:tcPr>
          <w:p>
            <w:pPr>
              <w:rPr>
                <w:rFonts w:ascii="仿宋" w:hAnsi="仿宋" w:eastAsia="仿宋"/>
                <w:szCs w:val="21"/>
              </w:rPr>
            </w:pPr>
            <w:r>
              <w:rPr>
                <w:rFonts w:hint="eastAsia" w:ascii="仿宋" w:hAnsi="仿宋" w:eastAsia="仿宋"/>
                <w:szCs w:val="21"/>
              </w:rPr>
              <w:t>(1)蒙古语生活中各个场面中的用语；掌握蒙古语与汉语两种语言的基础发音不同；</w:t>
            </w:r>
          </w:p>
          <w:p>
            <w:pPr>
              <w:rPr>
                <w:rFonts w:ascii="仿宋" w:hAnsi="仿宋" w:eastAsia="仿宋"/>
                <w:szCs w:val="21"/>
              </w:rPr>
            </w:pPr>
            <w:r>
              <w:rPr>
                <w:rFonts w:hint="eastAsia" w:ascii="仿宋" w:hAnsi="仿宋" w:eastAsia="仿宋"/>
                <w:szCs w:val="21"/>
              </w:rPr>
              <w:t>(2)蒙古语的书面语和口语的区别，力求灵活运用蒙古语口语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trPr>
        <w:tc>
          <w:tcPr>
            <w:tcW w:w="3405" w:type="dxa"/>
            <w:noWrap/>
          </w:tcPr>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cs="仿宋"/>
                <w:kern w:val="0"/>
                <w:szCs w:val="21"/>
              </w:rPr>
              <w:t>系统掌握常用的应用类文章的实际用途及其写作要领，培养和提高应用型人才所必需的应用写作能力，以此适应社会的需求。</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旅游应用文写作</w:t>
            </w:r>
          </w:p>
        </w:tc>
        <w:tc>
          <w:tcPr>
            <w:tcW w:w="3960" w:type="dxa"/>
            <w:noWrap/>
          </w:tcPr>
          <w:p>
            <w:pPr>
              <w:rPr>
                <w:rFonts w:ascii="仿宋" w:hAnsi="仿宋" w:eastAsia="仿宋"/>
                <w:szCs w:val="21"/>
              </w:rPr>
            </w:pPr>
            <w:r>
              <w:rPr>
                <w:rFonts w:hint="eastAsia" w:ascii="仿宋" w:hAnsi="仿宋" w:eastAsia="仿宋" w:cs="仿宋"/>
                <w:kern w:val="0"/>
                <w:szCs w:val="21"/>
              </w:rPr>
              <w:t>行政公文、事务文书、科技文书、社交礼仪文书、求职文书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95" w:hRule="atLeast"/>
        </w:trPr>
        <w:tc>
          <w:tcPr>
            <w:tcW w:w="3405" w:type="dxa"/>
            <w:noWrap/>
          </w:tcPr>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(1)了解中国六大茶类及制作方法</w:t>
            </w:r>
          </w:p>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(2)了解并掌握科学饮茶与茶叶功效</w:t>
            </w:r>
          </w:p>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(3)熟知中国茶文化及演变过程</w:t>
            </w:r>
          </w:p>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(4)掌握盖碗、紫砂壶、玻璃杯茶艺技能</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茶艺</w:t>
            </w:r>
          </w:p>
        </w:tc>
        <w:tc>
          <w:tcPr>
            <w:tcW w:w="3960" w:type="dxa"/>
            <w:noWrap/>
          </w:tcPr>
          <w:p>
            <w:pPr>
              <w:rPr>
                <w:rFonts w:ascii="仿宋" w:hAnsi="仿宋" w:eastAsia="仿宋"/>
                <w:szCs w:val="21"/>
              </w:rPr>
            </w:pPr>
            <w:r>
              <w:rPr>
                <w:rFonts w:hint="eastAsia" w:ascii="仿宋" w:hAnsi="仿宋" w:eastAsia="仿宋"/>
                <w:szCs w:val="21"/>
              </w:rPr>
              <w:t>中国六大茶类</w:t>
            </w:r>
          </w:p>
          <w:p>
            <w:pPr>
              <w:rPr>
                <w:rFonts w:ascii="仿宋" w:hAnsi="仿宋" w:eastAsia="仿宋"/>
                <w:szCs w:val="21"/>
              </w:rPr>
            </w:pPr>
            <w:r>
              <w:rPr>
                <w:rFonts w:hint="eastAsia" w:ascii="仿宋" w:hAnsi="仿宋" w:eastAsia="仿宋"/>
                <w:szCs w:val="21"/>
              </w:rPr>
              <w:t>茶树生长环境及其品质</w:t>
            </w:r>
          </w:p>
          <w:p>
            <w:pPr>
              <w:rPr>
                <w:rFonts w:ascii="仿宋" w:hAnsi="仿宋" w:eastAsia="仿宋"/>
                <w:szCs w:val="21"/>
              </w:rPr>
            </w:pPr>
            <w:r>
              <w:rPr>
                <w:rFonts w:hint="eastAsia" w:ascii="仿宋" w:hAnsi="仿宋" w:eastAsia="仿宋"/>
                <w:szCs w:val="21"/>
              </w:rPr>
              <w:t>茶叶采摘与制作</w:t>
            </w:r>
          </w:p>
          <w:p>
            <w:pPr>
              <w:rPr>
                <w:rFonts w:ascii="仿宋" w:hAnsi="仿宋" w:eastAsia="仿宋"/>
                <w:szCs w:val="21"/>
              </w:rPr>
            </w:pPr>
            <w:r>
              <w:rPr>
                <w:rFonts w:hint="eastAsia" w:ascii="仿宋" w:hAnsi="仿宋" w:eastAsia="仿宋"/>
                <w:szCs w:val="21"/>
              </w:rPr>
              <w:t>中国茶文化演变过程</w:t>
            </w:r>
          </w:p>
          <w:p>
            <w:pPr>
              <w:rPr>
                <w:rFonts w:ascii="仿宋" w:hAnsi="仿宋" w:eastAsia="仿宋"/>
                <w:szCs w:val="21"/>
              </w:rPr>
            </w:pPr>
            <w:r>
              <w:rPr>
                <w:rFonts w:hint="eastAsia" w:ascii="仿宋" w:hAnsi="仿宋" w:eastAsia="仿宋"/>
                <w:szCs w:val="21"/>
              </w:rPr>
              <w:t>科学饮茶与茶叶功效</w:t>
            </w:r>
          </w:p>
          <w:p>
            <w:pPr>
              <w:rPr>
                <w:rFonts w:ascii="仿宋" w:hAnsi="仿宋" w:eastAsia="仿宋"/>
                <w:szCs w:val="21"/>
              </w:rPr>
            </w:pPr>
            <w:r>
              <w:rPr>
                <w:rFonts w:hint="eastAsia" w:ascii="仿宋" w:hAnsi="仿宋" w:eastAsia="仿宋"/>
                <w:szCs w:val="21"/>
              </w:rPr>
              <w:t>茶叶冲泡及品鉴（绿茶品鉴、红茶品鉴、黄茶品鉴、白茶品鉴）</w:t>
            </w:r>
          </w:p>
          <w:p>
            <w:pPr>
              <w:rPr>
                <w:rFonts w:ascii="仿宋" w:hAnsi="仿宋" w:eastAsia="仿宋"/>
                <w:szCs w:val="21"/>
              </w:rPr>
            </w:pPr>
            <w:r>
              <w:rPr>
                <w:rFonts w:hint="eastAsia" w:ascii="仿宋" w:hAnsi="仿宋" w:eastAsia="仿宋"/>
                <w:szCs w:val="21"/>
              </w:rPr>
              <w:t>乌龙茶品鉴、黑茶品鉴、花茶品鉴</w:t>
            </w:r>
          </w:p>
          <w:p>
            <w:pPr>
              <w:rPr>
                <w:rFonts w:ascii="仿宋" w:hAnsi="仿宋" w:eastAsia="仿宋"/>
                <w:szCs w:val="21"/>
              </w:rPr>
            </w:pPr>
            <w:r>
              <w:rPr>
                <w:rFonts w:hint="eastAsia" w:ascii="仿宋" w:hAnsi="仿宋" w:eastAsia="仿宋"/>
                <w:szCs w:val="21"/>
              </w:rPr>
              <w:t>盖碗茶艺——祁门红茶茶艺</w:t>
            </w:r>
          </w:p>
          <w:p>
            <w:pPr>
              <w:rPr>
                <w:rFonts w:ascii="仿宋" w:hAnsi="仿宋" w:eastAsia="仿宋"/>
                <w:szCs w:val="21"/>
              </w:rPr>
            </w:pPr>
            <w:r>
              <w:rPr>
                <w:rFonts w:hint="eastAsia" w:ascii="仿宋" w:hAnsi="仿宋" w:eastAsia="仿宋"/>
                <w:szCs w:val="21"/>
              </w:rPr>
              <w:t>紫砂壶茶艺——安溪铁观音茶艺</w:t>
            </w:r>
          </w:p>
          <w:p>
            <w:pPr>
              <w:rPr>
                <w:rFonts w:ascii="仿宋" w:hAnsi="仿宋" w:eastAsia="仿宋"/>
                <w:szCs w:val="21"/>
              </w:rPr>
            </w:pPr>
            <w:r>
              <w:rPr>
                <w:rFonts w:hint="eastAsia" w:ascii="仿宋" w:hAnsi="仿宋" w:eastAsia="仿宋"/>
                <w:szCs w:val="21"/>
              </w:rPr>
              <w:t>玻璃杯茶艺——西湖龙井茶艺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trPr>
        <w:tc>
          <w:tcPr>
            <w:tcW w:w="3405" w:type="dxa"/>
            <w:noWrap/>
          </w:tcPr>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（1）系统的掌握舞蹈基本功技术技巧</w:t>
            </w:r>
          </w:p>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（2）准确的掌握一支舞蹈作品</w:t>
            </w:r>
          </w:p>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szCs w:val="21"/>
              </w:rPr>
              <w:t>（3）培养学生舞蹈基本素养</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民族舞蹈</w:t>
            </w:r>
          </w:p>
        </w:tc>
        <w:tc>
          <w:tcPr>
            <w:tcW w:w="3960" w:type="dxa"/>
            <w:noWrap/>
          </w:tcPr>
          <w:p>
            <w:pPr>
              <w:rPr>
                <w:rFonts w:ascii="仿宋" w:hAnsi="仿宋" w:eastAsia="仿宋"/>
                <w:szCs w:val="21"/>
              </w:rPr>
            </w:pPr>
            <w:r>
              <w:rPr>
                <w:rFonts w:hint="eastAsia" w:ascii="仿宋" w:hAnsi="仿宋" w:eastAsia="仿宋"/>
                <w:szCs w:val="21"/>
              </w:rPr>
              <w:t>（1）舞蹈基本功训练</w:t>
            </w:r>
          </w:p>
          <w:p>
            <w:pPr>
              <w:rPr>
                <w:rFonts w:ascii="仿宋" w:hAnsi="仿宋" w:eastAsia="仿宋"/>
                <w:szCs w:val="21"/>
              </w:rPr>
            </w:pPr>
            <w:r>
              <w:rPr>
                <w:rFonts w:hint="eastAsia" w:ascii="仿宋" w:hAnsi="仿宋" w:eastAsia="仿宋"/>
                <w:szCs w:val="21"/>
              </w:rPr>
              <w:t>（2）蒙古族舞蹈表演</w:t>
            </w:r>
          </w:p>
          <w:p>
            <w:pPr>
              <w:rPr>
                <w:rFonts w:ascii="仿宋" w:hAnsi="仿宋" w:eastAsia="仿宋"/>
                <w:szCs w:val="21"/>
              </w:rPr>
            </w:pPr>
            <w:r>
              <w:rPr>
                <w:rFonts w:hint="eastAsia" w:ascii="仿宋" w:hAnsi="仿宋" w:eastAsia="仿宋"/>
                <w:szCs w:val="21"/>
              </w:rPr>
              <w:t>（3）训练学生基本舞姿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3405" w:type="dxa"/>
            <w:noWrap/>
          </w:tcPr>
          <w:p>
            <w:pPr>
              <w:tabs>
                <w:tab w:val="center" w:pos="4153"/>
                <w:tab w:val="right" w:pos="8306"/>
              </w:tabs>
              <w:snapToGrid w:val="0"/>
              <w:spacing w:before="156" w:beforeLines="50" w:after="156" w:afterLines="50" w:line="300" w:lineRule="exact"/>
              <w:outlineLvl w:val="3"/>
              <w:rPr>
                <w:rFonts w:ascii="仿宋" w:hAnsi="仿宋" w:eastAsia="仿宋"/>
                <w:szCs w:val="21"/>
              </w:rPr>
            </w:pPr>
            <w:r>
              <w:rPr>
                <w:rFonts w:hint="eastAsia" w:ascii="仿宋" w:hAnsi="仿宋" w:eastAsia="仿宋" w:cs="仿宋"/>
                <w:szCs w:val="21"/>
                <w:shd w:val="clear" w:color="auto" w:fill="FFFFFF"/>
              </w:rPr>
              <w:t>熟悉研学旅行育人目标，掌握依托兴安盟自然和文化遗产资源，红色教育资源、能够开展专项研学课程的设计、能够独立完成研学综合实践课程的设计、了解建立基地的准入标准、退出机制和评价体系。</w:t>
            </w:r>
          </w:p>
        </w:tc>
        <w:tc>
          <w:tcPr>
            <w:tcW w:w="1740" w:type="dxa"/>
            <w:noWrap/>
            <w:vAlign w:val="center"/>
          </w:tcPr>
          <w:p>
            <w:pPr>
              <w:tabs>
                <w:tab w:val="center" w:pos="4153"/>
                <w:tab w:val="right" w:pos="8306"/>
              </w:tabs>
              <w:snapToGrid w:val="0"/>
              <w:spacing w:line="300" w:lineRule="exact"/>
              <w:jc w:val="center"/>
              <w:outlineLvl w:val="3"/>
              <w:rPr>
                <w:rFonts w:ascii="仿宋" w:hAnsi="仿宋" w:eastAsia="仿宋"/>
                <w:szCs w:val="21"/>
              </w:rPr>
            </w:pPr>
            <w:r>
              <w:rPr>
                <w:rFonts w:hint="eastAsia" w:ascii="仿宋" w:hAnsi="仿宋" w:eastAsia="仿宋"/>
                <w:szCs w:val="21"/>
              </w:rPr>
              <w:t>研学</w:t>
            </w:r>
          </w:p>
        </w:tc>
        <w:tc>
          <w:tcPr>
            <w:tcW w:w="3960" w:type="dxa"/>
            <w:noWrap/>
          </w:tcPr>
          <w:p>
            <w:pPr>
              <w:rPr>
                <w:rFonts w:ascii="仿宋" w:hAnsi="仿宋" w:eastAsia="仿宋"/>
                <w:szCs w:val="21"/>
              </w:rPr>
            </w:pPr>
            <w:r>
              <w:rPr>
                <w:rFonts w:hint="eastAsia" w:ascii="仿宋" w:hAnsi="仿宋" w:eastAsia="仿宋"/>
                <w:szCs w:val="21"/>
              </w:rPr>
              <w:t>（1）</w:t>
            </w:r>
            <w:r>
              <w:rPr>
                <w:rFonts w:hint="eastAsia" w:ascii="仿宋" w:hAnsi="仿宋" w:eastAsia="仿宋" w:cs="仿宋"/>
                <w:kern w:val="0"/>
                <w:szCs w:val="21"/>
              </w:rPr>
              <w:t>常见大兴安岭野生动植物的分布、形态、特征、作用等</w:t>
            </w:r>
          </w:p>
          <w:p>
            <w:pPr>
              <w:rPr>
                <w:rFonts w:ascii="仿宋" w:hAnsi="仿宋" w:eastAsia="仿宋"/>
                <w:szCs w:val="21"/>
              </w:rPr>
            </w:pPr>
            <w:r>
              <w:rPr>
                <w:rFonts w:hint="eastAsia" w:ascii="仿宋" w:hAnsi="仿宋" w:eastAsia="仿宋"/>
                <w:szCs w:val="21"/>
              </w:rPr>
              <w:t>（2）蒙元历史文化、民风、民俗等</w:t>
            </w:r>
          </w:p>
          <w:p>
            <w:pPr>
              <w:rPr>
                <w:rFonts w:ascii="仿宋" w:hAnsi="仿宋" w:eastAsia="仿宋"/>
                <w:szCs w:val="21"/>
              </w:rPr>
            </w:pPr>
            <w:r>
              <w:rPr>
                <w:rFonts w:hint="eastAsia" w:ascii="仿宋" w:hAnsi="仿宋" w:eastAsia="仿宋"/>
                <w:szCs w:val="21"/>
              </w:rPr>
              <w:t>（3）兴安盟红色旅游资源分布及特征、对红色旅游资源的评价及研学课程设计</w:t>
            </w:r>
          </w:p>
          <w:p>
            <w:pPr>
              <w:rPr>
                <w:rFonts w:ascii="仿宋" w:hAnsi="仿宋" w:eastAsia="仿宋"/>
                <w:szCs w:val="21"/>
              </w:rPr>
            </w:pPr>
            <w:r>
              <w:rPr>
                <w:rFonts w:hint="eastAsia" w:ascii="仿宋" w:hAnsi="仿宋" w:eastAsia="仿宋"/>
                <w:szCs w:val="21"/>
              </w:rPr>
              <w:t>(4)阿尔山火山地貌、地质特征</w:t>
            </w:r>
          </w:p>
        </w:tc>
      </w:tr>
    </w:tbl>
    <w:p>
      <w:pPr>
        <w:pStyle w:val="3"/>
        <w:spacing w:beforeLines="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p>
      <w:pPr>
        <w:spacing w:line="500" w:lineRule="exact"/>
        <w:rPr>
          <w:rFonts w:ascii="仿宋" w:hAnsi="仿宋" w:eastAsia="仿宋" w:cs="仿宋"/>
          <w:b/>
          <w:sz w:val="24"/>
        </w:rPr>
      </w:pPr>
      <w:r>
        <w:rPr>
          <w:rFonts w:hint="eastAsia" w:ascii="仿宋" w:hAnsi="仿宋" w:eastAsia="仿宋" w:cs="仿宋"/>
          <w:b/>
          <w:bCs/>
          <w:sz w:val="24"/>
        </w:rPr>
        <w:t>6.创新创业实践项目</w:t>
      </w:r>
    </w:p>
    <w:tbl>
      <w:tblPr>
        <w:tblStyle w:val="10"/>
        <w:tblW w:w="9399" w:type="dxa"/>
        <w:tblInd w:w="-1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38"/>
        <w:gridCol w:w="53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4038"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项目名称</w:t>
            </w:r>
          </w:p>
        </w:tc>
        <w:tc>
          <w:tcPr>
            <w:tcW w:w="5361"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038" w:type="dxa"/>
            <w:shd w:val="clear" w:color="auto" w:fill="FFFFFF"/>
            <w:noWrap/>
            <w:vAlign w:val="center"/>
          </w:tcPr>
          <w:p>
            <w:pPr>
              <w:widowControl/>
              <w:rPr>
                <w:rFonts w:ascii="仿宋" w:hAnsi="仿宋" w:eastAsia="仿宋" w:cs="仿宋"/>
                <w:kern w:val="0"/>
                <w:szCs w:val="21"/>
              </w:rPr>
            </w:pPr>
            <w:r>
              <w:rPr>
                <w:rFonts w:hint="eastAsia" w:ascii="仿宋" w:hAnsi="仿宋" w:eastAsia="仿宋" w:cs="仿宋"/>
                <w:kern w:val="0"/>
                <w:szCs w:val="21"/>
              </w:rPr>
              <w:t>(1)企业颁发的优秀实习生</w:t>
            </w:r>
          </w:p>
        </w:tc>
        <w:tc>
          <w:tcPr>
            <w:tcW w:w="536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实习期间积极工作，表现突出。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038" w:type="dxa"/>
            <w:shd w:val="clear" w:color="auto" w:fill="FFFFFF"/>
            <w:noWrap/>
            <w:vAlign w:val="center"/>
          </w:tcPr>
          <w:p>
            <w:pPr>
              <w:widowControl/>
              <w:rPr>
                <w:rFonts w:ascii="仿宋" w:hAnsi="仿宋" w:eastAsia="仿宋" w:cs="仿宋"/>
                <w:kern w:val="0"/>
                <w:szCs w:val="21"/>
              </w:rPr>
            </w:pPr>
            <w:r>
              <w:rPr>
                <w:rFonts w:hint="eastAsia" w:ascii="仿宋" w:hAnsi="仿宋" w:eastAsia="仿宋" w:cs="仿宋"/>
                <w:kern w:val="0"/>
                <w:szCs w:val="21"/>
              </w:rPr>
              <w:t>(2)企业颁发的优秀员工</w:t>
            </w:r>
          </w:p>
        </w:tc>
        <w:tc>
          <w:tcPr>
            <w:tcW w:w="536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顶岗学习阶段努力工作，成绩显著。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4038" w:type="dxa"/>
            <w:shd w:val="clear" w:color="auto" w:fill="FFFFFF"/>
            <w:noWrap/>
            <w:vAlign w:val="center"/>
          </w:tcPr>
          <w:p>
            <w:pPr>
              <w:widowControl/>
              <w:rPr>
                <w:rFonts w:ascii="仿宋" w:hAnsi="仿宋" w:eastAsia="仿宋" w:cs="仿宋"/>
                <w:kern w:val="0"/>
                <w:szCs w:val="21"/>
              </w:rPr>
            </w:pPr>
            <w:r>
              <w:rPr>
                <w:rFonts w:hint="eastAsia" w:ascii="仿宋" w:hAnsi="仿宋" w:eastAsia="仿宋" w:cs="仿宋"/>
                <w:kern w:val="0"/>
                <w:szCs w:val="21"/>
              </w:rPr>
              <w:t>(3)创业实践</w:t>
            </w:r>
          </w:p>
        </w:tc>
        <w:tc>
          <w:tcPr>
            <w:tcW w:w="536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参加创业项目实施。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4038" w:type="dxa"/>
            <w:shd w:val="clear" w:color="auto" w:fill="FFFFFF"/>
            <w:noWrap/>
            <w:vAlign w:val="center"/>
          </w:tcPr>
          <w:p>
            <w:pPr>
              <w:widowControl/>
              <w:rPr>
                <w:rFonts w:ascii="仿宋" w:hAnsi="仿宋" w:eastAsia="仿宋" w:cs="仿宋"/>
                <w:kern w:val="0"/>
                <w:szCs w:val="21"/>
              </w:rPr>
            </w:pPr>
            <w:r>
              <w:rPr>
                <w:rFonts w:hint="eastAsia" w:ascii="仿宋" w:hAnsi="仿宋" w:eastAsia="仿宋" w:cs="仿宋"/>
                <w:kern w:val="0"/>
                <w:szCs w:val="21"/>
              </w:rPr>
              <w:t>(4)科技项目孵化</w:t>
            </w:r>
          </w:p>
        </w:tc>
        <w:tc>
          <w:tcPr>
            <w:tcW w:w="536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参加科技项目孵化。</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10"/>
        <w:tblW w:w="9399" w:type="dxa"/>
        <w:tblInd w:w="-21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81"/>
        <w:gridCol w:w="53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4081"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项目名称</w:t>
            </w:r>
          </w:p>
        </w:tc>
        <w:tc>
          <w:tcPr>
            <w:tcW w:w="5318"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408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（1）导游技能竞赛（普通话和英语导游服务技能竞赛</w:t>
            </w:r>
          </w:p>
        </w:tc>
        <w:tc>
          <w:tcPr>
            <w:tcW w:w="5318"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由内蒙古</w:t>
            </w:r>
            <w:r>
              <w:rPr>
                <w:rFonts w:hint="eastAsia" w:ascii="仿宋" w:hAnsi="仿宋" w:eastAsia="仿宋" w:cs="仿宋"/>
                <w:kern w:val="0"/>
                <w:szCs w:val="21"/>
              </w:rPr>
              <w:t>自治区教育厅主办，</w:t>
            </w:r>
            <w:r>
              <w:rPr>
                <w:rFonts w:ascii="仿宋" w:hAnsi="仿宋" w:eastAsia="仿宋" w:cs="仿宋"/>
                <w:kern w:val="0"/>
                <w:szCs w:val="21"/>
              </w:rPr>
              <w:t>比赛</w:t>
            </w:r>
            <w:r>
              <w:rPr>
                <w:rFonts w:hint="eastAsia" w:ascii="仿宋" w:hAnsi="仿宋" w:eastAsia="仿宋" w:cs="仿宋"/>
                <w:kern w:val="0"/>
                <w:szCs w:val="21"/>
              </w:rPr>
              <w:t>内容</w:t>
            </w:r>
            <w:r>
              <w:rPr>
                <w:rFonts w:ascii="仿宋" w:hAnsi="仿宋" w:eastAsia="仿宋" w:cs="仿宋"/>
                <w:kern w:val="0"/>
                <w:szCs w:val="21"/>
              </w:rPr>
              <w:t>包括景点讲解，知识问答和才艺表演。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408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（2）中餐主题宴会设计竞赛</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5318"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内蒙古自治区教育厅主办，比赛内容包括仪容仪表、现场操作、专业理论测试、英语能力测试等。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408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（3）西餐宴会服务竞赛</w:t>
            </w:r>
          </w:p>
        </w:tc>
        <w:tc>
          <w:tcPr>
            <w:tcW w:w="5318"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台面主题设计、西餐服务英语、摆台、斟酒、调酒、咖啡调制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4081"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（4）中华茶艺设计竞赛</w:t>
            </w:r>
          </w:p>
        </w:tc>
        <w:tc>
          <w:tcPr>
            <w:tcW w:w="5318"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内蒙教育厅主办，比赛内容包括茶席设计、茶艺表演、茶理论知识</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10"/>
        <w:tblW w:w="9399" w:type="dxa"/>
        <w:tblInd w:w="-20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100"/>
        <w:gridCol w:w="529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4100" w:type="dxa"/>
            <w:noWrap/>
            <w:vAlign w:val="center"/>
          </w:tcPr>
          <w:p>
            <w:pPr>
              <w:jc w:val="left"/>
              <w:rPr>
                <w:rFonts w:ascii="仿宋" w:hAnsi="仿宋" w:eastAsia="仿宋" w:cs="仿宋"/>
                <w:szCs w:val="21"/>
              </w:rPr>
            </w:pPr>
            <w:r>
              <w:rPr>
                <w:rFonts w:hint="eastAsia" w:ascii="仿宋" w:hAnsi="仿宋" w:eastAsia="仿宋" w:cs="仿宋"/>
                <w:szCs w:val="21"/>
              </w:rPr>
              <w:t>项目名称</w:t>
            </w:r>
          </w:p>
        </w:tc>
        <w:tc>
          <w:tcPr>
            <w:tcW w:w="5299" w:type="dxa"/>
            <w:noWrap/>
            <w:vAlign w:val="center"/>
          </w:tcPr>
          <w:p>
            <w:pPr>
              <w:jc w:val="left"/>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100" w:type="dxa"/>
            <w:shd w:val="clear" w:color="auto" w:fill="FFFFFF"/>
            <w:noWrap/>
            <w:vAlign w:val="center"/>
          </w:tcPr>
          <w:p>
            <w:pPr>
              <w:jc w:val="left"/>
              <w:rPr>
                <w:rFonts w:ascii="仿宋" w:hAnsi="仿宋" w:eastAsia="仿宋" w:cs="仿宋"/>
                <w:szCs w:val="21"/>
              </w:rPr>
            </w:pPr>
            <w:r>
              <w:rPr>
                <w:rFonts w:hint="eastAsia" w:ascii="仿宋" w:hAnsi="仿宋" w:eastAsia="仿宋" w:cs="仿宋"/>
                <w:szCs w:val="21"/>
              </w:rPr>
              <w:t>酒店特色人才工作室</w:t>
            </w:r>
          </w:p>
        </w:tc>
        <w:tc>
          <w:tcPr>
            <w:tcW w:w="5299" w:type="dxa"/>
            <w:noWrap/>
          </w:tcPr>
          <w:p>
            <w:pPr>
              <w:jc w:val="left"/>
              <w:rPr>
                <w:rFonts w:ascii="仿宋" w:hAnsi="仿宋" w:eastAsia="仿宋" w:cs="仿宋"/>
                <w:szCs w:val="21"/>
              </w:rPr>
            </w:pPr>
            <w:r>
              <w:rPr>
                <w:rFonts w:hint="eastAsia" w:ascii="仿宋" w:hAnsi="仿宋" w:eastAsia="仿宋" w:cs="仿宋"/>
                <w:szCs w:val="21"/>
              </w:rPr>
              <w:t>酒店专业技术岗位资格证书的获得，例如茶艺师、品酒师、咖啡师等职业专门人才的培养。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4100" w:type="dxa"/>
            <w:shd w:val="clear" w:color="auto" w:fill="FFFFFF"/>
            <w:noWrap/>
            <w:vAlign w:val="center"/>
          </w:tcPr>
          <w:p>
            <w:pPr>
              <w:jc w:val="left"/>
              <w:rPr>
                <w:rFonts w:ascii="仿宋" w:hAnsi="仿宋" w:eastAsia="仿宋" w:cs="仿宋"/>
                <w:szCs w:val="21"/>
              </w:rPr>
            </w:pPr>
            <w:r>
              <w:rPr>
                <w:rFonts w:hint="eastAsia" w:ascii="仿宋" w:hAnsi="仿宋" w:eastAsia="仿宋" w:cs="仿宋"/>
                <w:szCs w:val="21"/>
              </w:rPr>
              <w:t>研学旅游特长生工作室</w:t>
            </w:r>
          </w:p>
        </w:tc>
        <w:tc>
          <w:tcPr>
            <w:tcW w:w="5299" w:type="dxa"/>
            <w:noWrap/>
          </w:tcPr>
          <w:p>
            <w:pPr>
              <w:jc w:val="left"/>
              <w:rPr>
                <w:rFonts w:ascii="仿宋" w:hAnsi="仿宋" w:eastAsia="仿宋" w:cs="仿宋"/>
                <w:szCs w:val="21"/>
              </w:rPr>
            </w:pPr>
            <w:r>
              <w:rPr>
                <w:rFonts w:hint="eastAsia" w:ascii="仿宋" w:hAnsi="仿宋" w:eastAsia="仿宋" w:cs="仿宋"/>
                <w:szCs w:val="21"/>
              </w:rPr>
              <w:t>研学旅游方向例如研学辅导员、研学导师、研学旅游线路设计等特长生的培养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4100" w:type="dxa"/>
            <w:shd w:val="clear" w:color="auto" w:fill="FFFFFF"/>
            <w:noWrap/>
            <w:vAlign w:val="center"/>
          </w:tcPr>
          <w:p>
            <w:pPr>
              <w:jc w:val="left"/>
              <w:rPr>
                <w:rFonts w:ascii="仿宋" w:hAnsi="仿宋" w:eastAsia="仿宋" w:cs="仿宋"/>
                <w:szCs w:val="21"/>
              </w:rPr>
            </w:pPr>
            <w:r>
              <w:rPr>
                <w:rFonts w:hint="eastAsia" w:ascii="仿宋" w:hAnsi="仿宋" w:eastAsia="仿宋" w:cs="仿宋"/>
                <w:szCs w:val="21"/>
              </w:rPr>
              <w:t>蒙古族与三少民俗体验型旅游工作室</w:t>
            </w:r>
          </w:p>
        </w:tc>
        <w:tc>
          <w:tcPr>
            <w:tcW w:w="5299" w:type="dxa"/>
            <w:noWrap/>
          </w:tcPr>
          <w:p>
            <w:pPr>
              <w:jc w:val="left"/>
              <w:rPr>
                <w:rFonts w:ascii="仿宋" w:hAnsi="仿宋" w:eastAsia="仿宋" w:cs="仿宋"/>
                <w:szCs w:val="21"/>
              </w:rPr>
            </w:pPr>
            <w:r>
              <w:rPr>
                <w:rFonts w:hint="eastAsia" w:ascii="仿宋" w:hAnsi="仿宋" w:eastAsia="仿宋" w:cs="仿宋"/>
                <w:szCs w:val="21"/>
              </w:rPr>
              <w:t>体验型旅游方向，结合民族地区特色，培养深谙蒙古族民俗和三少民族民俗的特长生引导游客进行民俗体验。</w:t>
            </w:r>
          </w:p>
        </w:tc>
      </w:tr>
    </w:tbl>
    <w:p>
      <w:pPr>
        <w:spacing w:line="500" w:lineRule="exact"/>
        <w:rPr>
          <w:rFonts w:ascii="仿宋" w:hAnsi="仿宋" w:eastAsia="仿宋" w:cs="仿宋"/>
          <w:b/>
          <w:bCs/>
          <w:sz w:val="24"/>
        </w:rPr>
      </w:pPr>
      <w:r>
        <w:rPr>
          <w:rFonts w:hint="eastAsia" w:ascii="仿宋" w:hAnsi="仿宋" w:eastAsia="仿宋" w:cs="仿宋"/>
          <w:b/>
          <w:sz w:val="24"/>
        </w:rPr>
        <w:t xml:space="preserve">9. </w:t>
      </w:r>
      <w:r>
        <w:rPr>
          <w:rFonts w:hint="eastAsia" w:ascii="仿宋" w:hAnsi="仿宋" w:eastAsia="仿宋" w:cs="仿宋"/>
          <w:b/>
          <w:bCs/>
          <w:sz w:val="24"/>
        </w:rPr>
        <w:t>技能考证考级</w:t>
      </w:r>
    </w:p>
    <w:tbl>
      <w:tblPr>
        <w:tblStyle w:val="10"/>
        <w:tblW w:w="9319" w:type="dxa"/>
        <w:tblInd w:w="-19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52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4052"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证书名称</w:t>
            </w:r>
          </w:p>
        </w:tc>
        <w:tc>
          <w:tcPr>
            <w:tcW w:w="5267" w:type="dxa"/>
            <w:noWrap/>
            <w:vAlign w:val="center"/>
          </w:tcPr>
          <w:p>
            <w:pPr>
              <w:tabs>
                <w:tab w:val="center" w:pos="4153"/>
                <w:tab w:val="right" w:pos="8306"/>
              </w:tabs>
              <w:snapToGrid w:val="0"/>
              <w:spacing w:before="156" w:beforeLines="50" w:after="156" w:afterLines="50" w:line="3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《全国大学英语四级》</w:t>
            </w:r>
          </w:p>
        </w:tc>
        <w:tc>
          <w:tcPr>
            <w:tcW w:w="5267" w:type="dxa"/>
            <w:noWrap/>
          </w:tcPr>
          <w:p>
            <w:pPr>
              <w:outlineLvl w:val="3"/>
              <w:rPr>
                <w:rFonts w:ascii="仿宋" w:hAnsi="仿宋" w:eastAsia="仿宋" w:cs="仿宋"/>
                <w:kern w:val="0"/>
                <w:szCs w:val="21"/>
              </w:rPr>
            </w:pPr>
            <w:r>
              <w:rPr>
                <w:rFonts w:hint="eastAsia" w:ascii="仿宋" w:hAnsi="仿宋" w:eastAsia="仿宋" w:cs="仿宋"/>
                <w:kern w:val="0"/>
                <w:szCs w:val="21"/>
              </w:rPr>
              <w:t>⑴</w:t>
            </w:r>
            <w:r>
              <w:rPr>
                <w:rFonts w:ascii="仿宋" w:hAnsi="仿宋" w:eastAsia="仿宋" w:cs="仿宋"/>
                <w:kern w:val="0"/>
                <w:szCs w:val="21"/>
              </w:rPr>
              <w:t>听力理解；</w:t>
            </w:r>
            <w:r>
              <w:rPr>
                <w:rFonts w:hint="eastAsia" w:ascii="仿宋" w:hAnsi="仿宋" w:eastAsia="仿宋" w:cs="仿宋"/>
                <w:kern w:val="0"/>
                <w:szCs w:val="21"/>
              </w:rPr>
              <w:t>⑵</w:t>
            </w:r>
            <w:r>
              <w:rPr>
                <w:rFonts w:ascii="仿宋" w:hAnsi="仿宋" w:eastAsia="仿宋" w:cs="仿宋"/>
                <w:kern w:val="0"/>
                <w:szCs w:val="21"/>
              </w:rPr>
              <w:t>阅读理解；</w:t>
            </w:r>
            <w:r>
              <w:rPr>
                <w:rFonts w:hint="eastAsia" w:ascii="仿宋" w:hAnsi="仿宋" w:eastAsia="仿宋" w:cs="仿宋"/>
                <w:kern w:val="0"/>
                <w:szCs w:val="21"/>
              </w:rPr>
              <w:t>(3)</w:t>
            </w:r>
            <w:r>
              <w:rPr>
                <w:rFonts w:ascii="仿宋" w:hAnsi="仿宋" w:eastAsia="仿宋" w:cs="仿宋"/>
                <w:kern w:val="0"/>
                <w:szCs w:val="21"/>
              </w:rPr>
              <w:t>完型填空或改错；</w:t>
            </w:r>
            <w:r>
              <w:rPr>
                <w:rFonts w:hint="eastAsia" w:ascii="仿宋" w:hAnsi="仿宋" w:eastAsia="仿宋" w:cs="仿宋"/>
                <w:kern w:val="0"/>
                <w:szCs w:val="21"/>
              </w:rPr>
              <w:t>(4)</w:t>
            </w:r>
            <w:r>
              <w:rPr>
                <w:rFonts w:ascii="仿宋" w:hAnsi="仿宋" w:eastAsia="仿宋" w:cs="仿宋"/>
                <w:kern w:val="0"/>
                <w:szCs w:val="21"/>
              </w:rPr>
              <w:t>写作和翻译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《全国高等学校英语应用能力》三级</w:t>
            </w:r>
          </w:p>
        </w:tc>
        <w:tc>
          <w:tcPr>
            <w:tcW w:w="5267" w:type="dxa"/>
            <w:noWrap/>
          </w:tcPr>
          <w:p>
            <w:pPr>
              <w:outlineLvl w:val="3"/>
              <w:rPr>
                <w:rFonts w:ascii="仿宋" w:hAnsi="仿宋" w:eastAsia="仿宋" w:cs="仿宋"/>
                <w:kern w:val="0"/>
                <w:szCs w:val="21"/>
              </w:rPr>
            </w:pPr>
            <w:r>
              <w:rPr>
                <w:rFonts w:ascii="仿宋" w:hAnsi="仿宋" w:eastAsia="仿宋" w:cs="仿宋"/>
                <w:kern w:val="0"/>
                <w:szCs w:val="21"/>
              </w:rPr>
              <w:t>听力理解、词汇与结构、阅读理解、翻译 (英译汉)、写作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《全国导游资格证》初级</w:t>
            </w:r>
          </w:p>
        </w:tc>
        <w:tc>
          <w:tcPr>
            <w:tcW w:w="5267" w:type="dxa"/>
            <w:noWrap/>
          </w:tcPr>
          <w:p>
            <w:pPr>
              <w:outlineLvl w:val="3"/>
              <w:rPr>
                <w:rFonts w:ascii="仿宋" w:hAnsi="仿宋" w:eastAsia="仿宋" w:cs="仿宋"/>
                <w:kern w:val="0"/>
                <w:szCs w:val="21"/>
              </w:rPr>
            </w:pPr>
            <w:r>
              <w:rPr>
                <w:rFonts w:ascii="仿宋" w:hAnsi="仿宋" w:eastAsia="仿宋" w:cs="仿宋"/>
                <w:kern w:val="0"/>
                <w:szCs w:val="21"/>
              </w:rPr>
              <w:t>《导游基础》、《导游实务》、《旅游政策与法规》、《内蒙古导游基础》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《教师资格证》初或中级</w:t>
            </w:r>
          </w:p>
        </w:tc>
        <w:tc>
          <w:tcPr>
            <w:tcW w:w="5267" w:type="dxa"/>
            <w:noWrap/>
          </w:tcPr>
          <w:p>
            <w:pPr>
              <w:outlineLvl w:val="3"/>
              <w:rPr>
                <w:rFonts w:ascii="仿宋" w:hAnsi="仿宋" w:eastAsia="仿宋" w:cs="仿宋"/>
                <w:kern w:val="0"/>
                <w:szCs w:val="21"/>
              </w:rPr>
            </w:pPr>
            <w:r>
              <w:rPr>
                <w:rFonts w:hint="eastAsia" w:ascii="仿宋" w:hAnsi="仿宋" w:eastAsia="仿宋" w:cs="仿宋"/>
                <w:kern w:val="0"/>
                <w:szCs w:val="21"/>
              </w:rPr>
              <w:t>《教育学》、《教育心理学》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《普通话水平测试》2级甲等</w:t>
            </w:r>
          </w:p>
        </w:tc>
        <w:tc>
          <w:tcPr>
            <w:tcW w:w="5267" w:type="dxa"/>
            <w:noWrap/>
          </w:tcPr>
          <w:p>
            <w:pPr>
              <w:tabs>
                <w:tab w:val="center" w:pos="4153"/>
                <w:tab w:val="right" w:pos="8306"/>
              </w:tabs>
              <w:snapToGrid w:val="0"/>
              <w:spacing w:line="300" w:lineRule="exact"/>
              <w:outlineLvl w:val="3"/>
              <w:rPr>
                <w:rFonts w:ascii="仿宋" w:hAnsi="仿宋" w:eastAsia="仿宋" w:cs="仿宋"/>
                <w:kern w:val="0"/>
                <w:szCs w:val="21"/>
              </w:rPr>
            </w:pPr>
            <w:r>
              <w:rPr>
                <w:rFonts w:ascii="仿宋" w:hAnsi="仿宋" w:eastAsia="仿宋" w:cs="仿宋"/>
                <w:kern w:val="0"/>
                <w:szCs w:val="21"/>
              </w:rPr>
              <w:t>单音节、双音节字词发音；短文朗读；说话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4052" w:type="dxa"/>
            <w:noWrap/>
          </w:tcPr>
          <w:p>
            <w:pPr>
              <w:rPr>
                <w:rFonts w:ascii="仿宋" w:hAnsi="仿宋" w:eastAsia="仿宋" w:cs="仿宋"/>
                <w:kern w:val="0"/>
                <w:szCs w:val="21"/>
              </w:rPr>
            </w:pPr>
            <w:r>
              <w:rPr>
                <w:rFonts w:hint="eastAsia" w:ascii="仿宋" w:hAnsi="仿宋" w:eastAsia="仿宋" w:cs="仿宋"/>
                <w:kern w:val="0"/>
                <w:szCs w:val="21"/>
              </w:rPr>
              <w:t>《全国计算机等级考试》一级</w:t>
            </w:r>
          </w:p>
        </w:tc>
        <w:tc>
          <w:tcPr>
            <w:tcW w:w="5267" w:type="dxa"/>
            <w:noWrap/>
          </w:tcPr>
          <w:p>
            <w:pPr>
              <w:outlineLvl w:val="3"/>
              <w:rPr>
                <w:rFonts w:ascii="仿宋" w:hAnsi="仿宋" w:eastAsia="仿宋" w:cs="仿宋"/>
                <w:kern w:val="0"/>
                <w:szCs w:val="21"/>
              </w:rPr>
            </w:pPr>
            <w:r>
              <w:rPr>
                <w:rFonts w:ascii="仿宋" w:hAnsi="仿宋" w:eastAsia="仿宋" w:cs="仿宋"/>
                <w:kern w:val="0"/>
                <w:szCs w:val="21"/>
              </w:rPr>
              <w:t>计算机基础及MS Office应用、计算机基础及Photoshop应用</w:t>
            </w:r>
          </w:p>
        </w:tc>
      </w:tr>
    </w:tbl>
    <w:p>
      <w:pPr>
        <w:numPr>
          <w:ilvl w:val="0"/>
          <w:numId w:val="7"/>
        </w:numPr>
        <w:spacing w:line="500" w:lineRule="exact"/>
        <w:rPr>
          <w:rFonts w:ascii="仿宋" w:hAnsi="仿宋" w:eastAsia="仿宋" w:cs="仿宋"/>
          <w:b/>
          <w:sz w:val="24"/>
        </w:rPr>
      </w:pP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10"/>
        <w:tblpPr w:leftFromText="180" w:rightFromText="180" w:vertAnchor="text" w:horzAnchor="page" w:tblpX="1357" w:tblpY="473"/>
        <w:tblOverlap w:val="never"/>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98"/>
        <w:gridCol w:w="1757"/>
        <w:gridCol w:w="1240"/>
        <w:gridCol w:w="1016"/>
        <w:gridCol w:w="831"/>
        <w:gridCol w:w="1361"/>
        <w:gridCol w:w="748"/>
        <w:gridCol w:w="122"/>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4"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4911" w:type="dxa"/>
            <w:gridSpan w:val="4"/>
            <w:noWrap/>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831" w:type="dxa"/>
            <w:noWrap/>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361"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48"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61" w:type="dxa"/>
            <w:gridSpan w:val="2"/>
            <w:noWrap/>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64"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898" w:type="dxa"/>
            <w:noWrap/>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1757"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2256" w:type="dxa"/>
            <w:gridSpan w:val="2"/>
            <w:noWrap/>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831" w:type="dxa"/>
            <w:noWrap/>
            <w:vAlign w:val="center"/>
          </w:tcPr>
          <w:p>
            <w:pPr>
              <w:jc w:val="center"/>
              <w:rPr>
                <w:rFonts w:ascii="仿宋" w:hAnsi="仿宋" w:eastAsia="仿宋"/>
                <w:szCs w:val="21"/>
              </w:rPr>
            </w:pPr>
          </w:p>
        </w:tc>
        <w:tc>
          <w:tcPr>
            <w:tcW w:w="1361" w:type="dxa"/>
            <w:vMerge w:val="restart"/>
            <w:noWrap/>
            <w:vAlign w:val="center"/>
          </w:tcPr>
          <w:p>
            <w:pPr>
              <w:jc w:val="center"/>
              <w:rPr>
                <w:rFonts w:ascii="仿宋" w:hAnsi="仿宋" w:eastAsia="仿宋"/>
                <w:bCs/>
                <w:szCs w:val="21"/>
              </w:rPr>
            </w:pPr>
            <w:r>
              <w:rPr>
                <w:rFonts w:hint="eastAsia" w:ascii="仿宋" w:hAnsi="仿宋" w:eastAsia="仿宋"/>
                <w:szCs w:val="21"/>
              </w:rPr>
              <w:t>活动感悟（50-100字）</w:t>
            </w:r>
          </w:p>
        </w:tc>
        <w:tc>
          <w:tcPr>
            <w:tcW w:w="748" w:type="dxa"/>
            <w:vMerge w:val="restart"/>
            <w:noWrap/>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761" w:type="dxa"/>
            <w:gridSpan w:val="2"/>
            <w:vMerge w:val="restart"/>
            <w:noWrap/>
            <w:vAlign w:val="center"/>
          </w:tcPr>
          <w:p>
            <w:pPr>
              <w:jc w:val="center"/>
              <w:rPr>
                <w:rFonts w:ascii="仿宋" w:hAnsi="仿宋" w:eastAsia="仿宋"/>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9" w:hRule="atLeast"/>
        </w:trPr>
        <w:tc>
          <w:tcPr>
            <w:tcW w:w="764" w:type="dxa"/>
            <w:vMerge w:val="continue"/>
            <w:noWrap/>
            <w:vAlign w:val="center"/>
          </w:tcPr>
          <w:p>
            <w:pPr>
              <w:jc w:val="center"/>
              <w:rPr>
                <w:rFonts w:ascii="仿宋" w:hAnsi="仿宋" w:eastAsia="仿宋"/>
                <w:bCs/>
                <w:szCs w:val="21"/>
              </w:rPr>
            </w:pPr>
          </w:p>
        </w:tc>
        <w:tc>
          <w:tcPr>
            <w:tcW w:w="898" w:type="dxa"/>
            <w:noWrap/>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1757" w:type="dxa"/>
            <w:noWrap/>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1240" w:type="dxa"/>
            <w:noWrap/>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1016"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831" w:type="dxa"/>
            <w:noWrap/>
            <w:vAlign w:val="center"/>
          </w:tcPr>
          <w:p>
            <w:pPr>
              <w:jc w:val="center"/>
              <w:rPr>
                <w:rFonts w:ascii="仿宋" w:hAnsi="仿宋" w:eastAsia="仿宋"/>
                <w:bCs/>
                <w:szCs w:val="21"/>
              </w:rPr>
            </w:pPr>
            <w:r>
              <w:rPr>
                <w:rFonts w:hint="eastAsia" w:ascii="仿宋" w:hAnsi="仿宋" w:eastAsia="仿宋"/>
                <w:bCs/>
                <w:szCs w:val="21"/>
              </w:rPr>
              <w:t>5</w:t>
            </w:r>
          </w:p>
        </w:tc>
        <w:tc>
          <w:tcPr>
            <w:tcW w:w="1361" w:type="dxa"/>
            <w:vMerge w:val="continue"/>
            <w:noWrap/>
            <w:vAlign w:val="center"/>
          </w:tcPr>
          <w:p>
            <w:pPr>
              <w:jc w:val="center"/>
              <w:rPr>
                <w:rFonts w:ascii="仿宋" w:hAnsi="仿宋" w:eastAsia="仿宋"/>
                <w:szCs w:val="21"/>
              </w:rPr>
            </w:pPr>
          </w:p>
        </w:tc>
        <w:tc>
          <w:tcPr>
            <w:tcW w:w="748" w:type="dxa"/>
            <w:vMerge w:val="continue"/>
            <w:noWrap/>
            <w:vAlign w:val="center"/>
          </w:tcPr>
          <w:p>
            <w:pPr>
              <w:jc w:val="center"/>
              <w:rPr>
                <w:rFonts w:ascii="仿宋" w:hAnsi="仿宋" w:eastAsia="仿宋"/>
                <w:bCs/>
                <w:szCs w:val="21"/>
              </w:rPr>
            </w:pPr>
          </w:p>
        </w:tc>
        <w:tc>
          <w:tcPr>
            <w:tcW w:w="761" w:type="dxa"/>
            <w:gridSpan w:val="2"/>
            <w:vMerge w:val="continue"/>
            <w:noWrap/>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4" w:type="dxa"/>
            <w:vMerge w:val="continue"/>
            <w:noWrap/>
            <w:vAlign w:val="center"/>
          </w:tcPr>
          <w:p>
            <w:pPr>
              <w:spacing w:line="360" w:lineRule="exact"/>
              <w:jc w:val="center"/>
              <w:rPr>
                <w:rFonts w:ascii="仿宋" w:hAnsi="仿宋" w:eastAsia="仿宋"/>
                <w:b/>
                <w:bCs/>
                <w:szCs w:val="21"/>
              </w:rPr>
            </w:pPr>
          </w:p>
        </w:tc>
        <w:tc>
          <w:tcPr>
            <w:tcW w:w="898" w:type="dxa"/>
            <w:noWrap/>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1757" w:type="dxa"/>
            <w:noWrap/>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1240" w:type="dxa"/>
            <w:noWrap/>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1016" w:type="dxa"/>
            <w:vMerge w:val="continue"/>
            <w:noWrap/>
            <w:vAlign w:val="center"/>
          </w:tcPr>
          <w:p>
            <w:pPr>
              <w:spacing w:line="360" w:lineRule="exact"/>
              <w:jc w:val="center"/>
              <w:rPr>
                <w:rFonts w:ascii="仿宋" w:hAnsi="仿宋" w:eastAsia="仿宋"/>
                <w:bCs/>
                <w:szCs w:val="21"/>
              </w:rPr>
            </w:pPr>
          </w:p>
        </w:tc>
        <w:tc>
          <w:tcPr>
            <w:tcW w:w="831" w:type="dxa"/>
            <w:noWrap/>
            <w:vAlign w:val="center"/>
          </w:tcPr>
          <w:p>
            <w:pPr>
              <w:jc w:val="center"/>
              <w:rPr>
                <w:rFonts w:ascii="仿宋" w:hAnsi="仿宋" w:eastAsia="仿宋"/>
                <w:szCs w:val="21"/>
              </w:rPr>
            </w:pPr>
            <w:r>
              <w:rPr>
                <w:rFonts w:ascii="仿宋" w:hAnsi="仿宋" w:eastAsia="仿宋"/>
                <w:bCs/>
                <w:szCs w:val="21"/>
              </w:rPr>
              <w:t>5</w:t>
            </w:r>
          </w:p>
        </w:tc>
        <w:tc>
          <w:tcPr>
            <w:tcW w:w="1361" w:type="dxa"/>
            <w:noWrap/>
            <w:vAlign w:val="center"/>
          </w:tcPr>
          <w:p>
            <w:pPr>
              <w:jc w:val="center"/>
              <w:rPr>
                <w:rFonts w:ascii="仿宋" w:hAnsi="仿宋" w:eastAsia="仿宋"/>
                <w:szCs w:val="21"/>
              </w:rPr>
            </w:pPr>
            <w:r>
              <w:rPr>
                <w:rFonts w:hint="eastAsia" w:ascii="仿宋" w:hAnsi="仿宋" w:eastAsia="仿宋"/>
                <w:szCs w:val="21"/>
              </w:rPr>
              <w:t>参与活动主题、内容</w:t>
            </w:r>
          </w:p>
        </w:tc>
        <w:tc>
          <w:tcPr>
            <w:tcW w:w="748" w:type="dxa"/>
            <w:vMerge w:val="continue"/>
            <w:noWrap/>
            <w:vAlign w:val="center"/>
          </w:tcPr>
          <w:p>
            <w:pPr>
              <w:jc w:val="center"/>
              <w:rPr>
                <w:rFonts w:ascii="仿宋" w:hAnsi="仿宋" w:eastAsia="仿宋"/>
                <w:b/>
                <w:bCs/>
                <w:szCs w:val="21"/>
              </w:rPr>
            </w:pPr>
          </w:p>
        </w:tc>
        <w:tc>
          <w:tcPr>
            <w:tcW w:w="761" w:type="dxa"/>
            <w:gridSpan w:val="2"/>
            <w:vMerge w:val="continue"/>
            <w:noWrap/>
            <w:vAlign w:val="center"/>
          </w:tcPr>
          <w:p>
            <w:pPr>
              <w:jc w:val="center"/>
              <w:rPr>
                <w:rFonts w:ascii="仿宋" w:hAnsi="仿宋" w:eastAsia="仿宋"/>
                <w:b/>
                <w:bCs/>
                <w:szCs w:val="21"/>
              </w:rPr>
            </w:pPr>
          </w:p>
        </w:tc>
      </w:tr>
      <w:tr>
        <w:tblPrEx>
          <w:tblLayout w:type="fixed"/>
          <w:tblCellMar>
            <w:top w:w="0" w:type="dxa"/>
            <w:left w:w="108" w:type="dxa"/>
            <w:bottom w:w="0" w:type="dxa"/>
            <w:right w:w="108" w:type="dxa"/>
          </w:tblCellMar>
        </w:tblPrEx>
        <w:trPr>
          <w:trHeight w:val="1414" w:hRule="atLeast"/>
        </w:trPr>
        <w:tc>
          <w:tcPr>
            <w:tcW w:w="764" w:type="dxa"/>
            <w:vMerge w:val="continue"/>
            <w:noWrap/>
            <w:vAlign w:val="center"/>
          </w:tcPr>
          <w:p>
            <w:pPr>
              <w:spacing w:line="360" w:lineRule="exact"/>
              <w:jc w:val="center"/>
              <w:rPr>
                <w:rFonts w:ascii="仿宋" w:hAnsi="仿宋" w:eastAsia="仿宋"/>
                <w:b/>
                <w:bCs/>
                <w:szCs w:val="21"/>
              </w:rPr>
            </w:pPr>
          </w:p>
        </w:tc>
        <w:tc>
          <w:tcPr>
            <w:tcW w:w="898" w:type="dxa"/>
            <w:noWrap/>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1757"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1240" w:type="dxa"/>
            <w:noWrap/>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1016" w:type="dxa"/>
            <w:vMerge w:val="continue"/>
            <w:noWrap/>
            <w:vAlign w:val="center"/>
          </w:tcPr>
          <w:p>
            <w:pPr>
              <w:spacing w:line="360" w:lineRule="exact"/>
              <w:jc w:val="center"/>
              <w:rPr>
                <w:rFonts w:ascii="仿宋" w:hAnsi="仿宋" w:eastAsia="仿宋"/>
                <w:bCs/>
                <w:szCs w:val="21"/>
              </w:rPr>
            </w:pP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748" w:type="dxa"/>
            <w:vMerge w:val="continue"/>
            <w:noWrap/>
            <w:vAlign w:val="center"/>
          </w:tcPr>
          <w:p>
            <w:pPr>
              <w:spacing w:line="360" w:lineRule="exact"/>
              <w:jc w:val="center"/>
              <w:rPr>
                <w:rFonts w:ascii="仿宋" w:hAnsi="仿宋" w:eastAsia="仿宋"/>
                <w:b/>
                <w:bCs/>
                <w:szCs w:val="21"/>
              </w:rPr>
            </w:pPr>
          </w:p>
        </w:tc>
        <w:tc>
          <w:tcPr>
            <w:tcW w:w="761" w:type="dxa"/>
            <w:gridSpan w:val="2"/>
            <w:vMerge w:val="continue"/>
            <w:noWrap/>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4" w:type="dxa"/>
            <w:vMerge w:val="continue"/>
            <w:noWrap/>
            <w:vAlign w:val="center"/>
          </w:tcPr>
          <w:p>
            <w:pPr>
              <w:spacing w:line="360" w:lineRule="exact"/>
              <w:jc w:val="center"/>
              <w:rPr>
                <w:rFonts w:ascii="仿宋" w:hAnsi="仿宋" w:eastAsia="仿宋"/>
                <w:b/>
                <w:bCs/>
                <w:szCs w:val="21"/>
              </w:rPr>
            </w:pPr>
          </w:p>
        </w:tc>
        <w:tc>
          <w:tcPr>
            <w:tcW w:w="898" w:type="dxa"/>
            <w:noWrap/>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1757" w:type="dxa"/>
            <w:noWrap/>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1240" w:type="dxa"/>
            <w:noWrap/>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1016" w:type="dxa"/>
            <w:vMerge w:val="continue"/>
            <w:noWrap/>
            <w:vAlign w:val="center"/>
          </w:tcPr>
          <w:p>
            <w:pPr>
              <w:spacing w:line="360" w:lineRule="exact"/>
              <w:jc w:val="center"/>
              <w:rPr>
                <w:rFonts w:ascii="仿宋" w:hAnsi="仿宋" w:eastAsia="仿宋"/>
                <w:bCs/>
                <w:szCs w:val="21"/>
              </w:rPr>
            </w:pP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748" w:type="dxa"/>
            <w:vMerge w:val="continue"/>
            <w:noWrap/>
            <w:vAlign w:val="center"/>
          </w:tcPr>
          <w:p>
            <w:pPr>
              <w:spacing w:line="360" w:lineRule="exact"/>
              <w:jc w:val="center"/>
              <w:rPr>
                <w:rFonts w:ascii="仿宋" w:hAnsi="仿宋" w:eastAsia="仿宋"/>
                <w:bCs/>
                <w:szCs w:val="21"/>
              </w:rPr>
            </w:pPr>
          </w:p>
        </w:tc>
        <w:tc>
          <w:tcPr>
            <w:tcW w:w="761" w:type="dxa"/>
            <w:gridSpan w:val="2"/>
            <w:vMerge w:val="continue"/>
            <w:noWrap/>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9376" w:type="dxa"/>
            <w:gridSpan w:val="10"/>
            <w:noWrap/>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restart"/>
            <w:noWrap/>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8"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61"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8" w:type="dxa"/>
            <w:vMerge w:val="continue"/>
            <w:noWrap/>
            <w:vAlign w:val="center"/>
          </w:tcPr>
          <w:p>
            <w:pPr>
              <w:spacing w:line="360" w:lineRule="exact"/>
              <w:jc w:val="center"/>
              <w:rPr>
                <w:rFonts w:ascii="仿宋" w:hAnsi="仿宋" w:eastAsia="仿宋"/>
                <w:bCs/>
                <w:szCs w:val="21"/>
              </w:rPr>
            </w:pPr>
          </w:p>
        </w:tc>
        <w:tc>
          <w:tcPr>
            <w:tcW w:w="761"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8" w:type="dxa"/>
            <w:vMerge w:val="continue"/>
            <w:noWrap/>
            <w:vAlign w:val="center"/>
          </w:tcPr>
          <w:p>
            <w:pPr>
              <w:spacing w:line="360" w:lineRule="exact"/>
              <w:jc w:val="center"/>
              <w:rPr>
                <w:rFonts w:ascii="仿宋" w:hAnsi="仿宋" w:eastAsia="仿宋"/>
                <w:bCs/>
                <w:szCs w:val="21"/>
              </w:rPr>
            </w:pPr>
          </w:p>
        </w:tc>
        <w:tc>
          <w:tcPr>
            <w:tcW w:w="761"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31"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48" w:type="dxa"/>
            <w:vMerge w:val="continue"/>
            <w:noWrap/>
            <w:vAlign w:val="center"/>
          </w:tcPr>
          <w:p>
            <w:pPr>
              <w:spacing w:line="360" w:lineRule="exact"/>
              <w:jc w:val="center"/>
              <w:rPr>
                <w:rFonts w:ascii="仿宋" w:hAnsi="仿宋" w:eastAsia="仿宋"/>
                <w:bCs/>
                <w:szCs w:val="21"/>
              </w:rPr>
            </w:pPr>
          </w:p>
        </w:tc>
        <w:tc>
          <w:tcPr>
            <w:tcW w:w="761"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3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8" w:type="dxa"/>
            <w:vMerge w:val="continue"/>
            <w:noWrap/>
            <w:vAlign w:val="center"/>
          </w:tcPr>
          <w:p>
            <w:pPr>
              <w:spacing w:line="360" w:lineRule="exact"/>
              <w:jc w:val="center"/>
              <w:rPr>
                <w:rFonts w:ascii="仿宋" w:hAnsi="仿宋" w:eastAsia="仿宋"/>
                <w:bCs/>
                <w:szCs w:val="21"/>
              </w:rPr>
            </w:pPr>
          </w:p>
        </w:tc>
        <w:tc>
          <w:tcPr>
            <w:tcW w:w="761"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376" w:type="dxa"/>
            <w:gridSpan w:val="10"/>
            <w:noWrap/>
            <w:vAlign w:val="center"/>
          </w:tcPr>
          <w:p>
            <w:pPr>
              <w:rPr>
                <w:rFonts w:ascii="仿宋" w:hAnsi="仿宋" w:eastAsia="仿宋"/>
                <w:bCs/>
                <w:szCs w:val="21"/>
              </w:rPr>
            </w:pPr>
            <w:r>
              <w:rPr>
                <w:rFonts w:hint="eastAsia" w:ascii="仿宋" w:hAnsi="仿宋" w:eastAsia="仿宋"/>
                <w:b/>
                <w:bCs/>
                <w:sz w:val="24"/>
              </w:rPr>
              <w:t>文化素质教育分/学分获取办法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31" w:type="dxa"/>
            <w:noWrap/>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70"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9" w:type="dxa"/>
            <w:vMerge w:val="restart"/>
            <w:noWrap/>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831"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70" w:type="dxa"/>
            <w:gridSpan w:val="2"/>
            <w:vMerge w:val="continue"/>
            <w:noWrap/>
            <w:vAlign w:val="center"/>
          </w:tcPr>
          <w:p>
            <w:pPr>
              <w:spacing w:line="360" w:lineRule="exact"/>
              <w:jc w:val="center"/>
              <w:rPr>
                <w:rFonts w:ascii="仿宋" w:hAnsi="仿宋" w:eastAsia="仿宋"/>
                <w:szCs w:val="21"/>
              </w:rPr>
            </w:pPr>
          </w:p>
        </w:tc>
        <w:tc>
          <w:tcPr>
            <w:tcW w:w="639" w:type="dxa"/>
            <w:vMerge w:val="continue"/>
            <w:noWrap/>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831"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31"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31" w:type="dxa"/>
            <w:noWrap/>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31"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31"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831" w:type="dxa"/>
            <w:noWrap/>
          </w:tcPr>
          <w:p>
            <w:pPr>
              <w:jc w:val="center"/>
              <w:rPr>
                <w:rFonts w:ascii="仿宋" w:hAnsi="仿宋" w:eastAsia="仿宋"/>
                <w:b/>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9376" w:type="dxa"/>
            <w:gridSpan w:val="10"/>
            <w:noWrap/>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70"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9"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376" w:type="dxa"/>
            <w:gridSpan w:val="10"/>
            <w:noWrap/>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restart"/>
            <w:noWrap/>
            <w:vAlign w:val="center"/>
          </w:tcPr>
          <w:p>
            <w:pPr>
              <w:jc w:val="center"/>
              <w:rPr>
                <w:rFonts w:ascii="仿宋" w:hAnsi="仿宋" w:eastAsia="仿宋"/>
                <w:bCs/>
                <w:szCs w:val="21"/>
              </w:rPr>
            </w:pPr>
            <w:r>
              <w:rPr>
                <w:rFonts w:hint="eastAsia" w:ascii="仿宋" w:hAnsi="仿宋" w:eastAsia="仿宋"/>
                <w:bCs/>
                <w:szCs w:val="21"/>
              </w:rPr>
              <w:t>劳动素养（劳）</w:t>
            </w: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9"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pStyle w:val="5"/>
              <w:spacing w:line="360" w:lineRule="exact"/>
              <w:ind w:firstLine="0" w:firstLineChars="0"/>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pStyle w:val="5"/>
              <w:spacing w:line="360" w:lineRule="exact"/>
              <w:ind w:firstLine="0" w:firstLineChars="0"/>
              <w:jc w:val="center"/>
              <w:rPr>
                <w:rFonts w:ascii="仿宋" w:hAnsi="仿宋" w:eastAsia="仿宋"/>
                <w:bCs/>
                <w:szCs w:val="21"/>
              </w:rPr>
            </w:pPr>
          </w:p>
        </w:tc>
        <w:tc>
          <w:tcPr>
            <w:tcW w:w="4911" w:type="dxa"/>
            <w:gridSpan w:val="4"/>
            <w:noWrap/>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ascii="仿宋" w:hAnsi="仿宋" w:eastAsia="仿宋"/>
                <w:bCs/>
                <w:szCs w:val="21"/>
              </w:rPr>
              <w:t>过程记录</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764" w:type="dxa"/>
            <w:vMerge w:val="continue"/>
            <w:noWrap/>
            <w:vAlign w:val="center"/>
          </w:tcPr>
          <w:p>
            <w:pPr>
              <w:spacing w:line="360" w:lineRule="exact"/>
              <w:jc w:val="center"/>
              <w:rPr>
                <w:rFonts w:ascii="仿宋" w:hAnsi="仿宋" w:eastAsia="仿宋"/>
                <w:bCs/>
                <w:szCs w:val="21"/>
              </w:rPr>
            </w:pPr>
          </w:p>
        </w:tc>
        <w:tc>
          <w:tcPr>
            <w:tcW w:w="4911" w:type="dxa"/>
            <w:gridSpan w:val="4"/>
            <w:noWrap/>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31"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36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70" w:type="dxa"/>
            <w:gridSpan w:val="2"/>
            <w:vMerge w:val="continue"/>
            <w:noWrap/>
            <w:vAlign w:val="center"/>
          </w:tcPr>
          <w:p>
            <w:pPr>
              <w:spacing w:line="360" w:lineRule="exact"/>
              <w:jc w:val="center"/>
              <w:rPr>
                <w:rFonts w:ascii="仿宋" w:hAnsi="仿宋" w:eastAsia="仿宋"/>
                <w:bCs/>
                <w:szCs w:val="21"/>
              </w:rPr>
            </w:pPr>
          </w:p>
        </w:tc>
        <w:tc>
          <w:tcPr>
            <w:tcW w:w="639"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9376" w:type="dxa"/>
            <w:gridSpan w:val="10"/>
            <w:noWrap/>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rPr>
          <w:rFonts w:ascii="仿宋" w:hAnsi="仿宋" w:eastAsia="仿宋" w:cs="仿宋"/>
          <w:b/>
          <w:bCs/>
          <w:sz w:val="24"/>
        </w:rPr>
      </w:pPr>
      <w:r>
        <w:rPr>
          <w:rFonts w:hint="eastAsia" w:ascii="仿宋" w:hAnsi="仿宋" w:eastAsia="仿宋" w:cs="仿宋"/>
          <w:b/>
          <w:bCs/>
          <w:sz w:val="24"/>
        </w:rPr>
        <w:t>1.专业人才培养模式</w:t>
      </w:r>
    </w:p>
    <w:p>
      <w:pPr>
        <w:spacing w:line="360" w:lineRule="auto"/>
        <w:ind w:firstLine="480" w:firstLineChars="200"/>
        <w:rPr>
          <w:rFonts w:ascii="仿宋" w:hAnsi="仿宋" w:eastAsia="仿宋"/>
          <w:bCs/>
          <w:sz w:val="24"/>
        </w:rPr>
      </w:pPr>
      <w:r>
        <w:rPr>
          <w:rFonts w:hint="eastAsia" w:ascii="仿宋" w:hAnsi="仿宋" w:eastAsia="仿宋"/>
          <w:bCs/>
          <w:sz w:val="24"/>
        </w:rPr>
        <w:t>旅游管理专业人才培养模式改革根据地区经济发展趋势，以旅游企业为服务对象，结合专业培养目标和专业特点，采用“校企合作大专业小方向、旺进淡出、工学交替”的人才培养模式，合理分配理论教学与实践教学节数，构筑旅游专业学生必须的知识、技能和职业素养、课堂教学与旅游企业实践相结合的方式实现旺进淡出。</w:t>
      </w:r>
    </w:p>
    <w:p>
      <w:pPr>
        <w:spacing w:line="500" w:lineRule="exact"/>
        <w:rPr>
          <w:rFonts w:ascii="仿宋" w:hAnsi="仿宋" w:eastAsia="仿宋" w:cs="仿宋"/>
          <w:b/>
          <w:bCs/>
          <w:sz w:val="24"/>
        </w:rPr>
      </w:pPr>
      <w:r>
        <w:rPr>
          <w:rFonts w:hint="eastAsia" w:ascii="仿宋" w:hAnsi="仿宋" w:eastAsia="仿宋" w:cs="仿宋"/>
          <w:b/>
          <w:bCs/>
          <w:sz w:val="24"/>
        </w:rPr>
        <w:t>2.课程体系</w:t>
      </w:r>
    </w:p>
    <w:p>
      <w:pPr>
        <w:spacing w:line="360" w:lineRule="auto"/>
        <w:ind w:firstLine="640"/>
        <w:rPr>
          <w:rFonts w:ascii="仿宋" w:hAnsi="仿宋" w:eastAsia="仿宋"/>
          <w:bCs/>
          <w:sz w:val="24"/>
        </w:rPr>
      </w:pPr>
      <w:r>
        <w:rPr>
          <w:rFonts w:hint="eastAsia" w:ascii="仿宋" w:hAnsi="仿宋" w:eastAsia="仿宋"/>
          <w:bCs/>
          <w:sz w:val="24"/>
        </w:rPr>
        <w:t>（1）课程体系的构建</w:t>
      </w:r>
    </w:p>
    <w:p>
      <w:pPr>
        <w:spacing w:line="360" w:lineRule="auto"/>
        <w:ind w:firstLine="640"/>
        <w:rPr>
          <w:rFonts w:ascii="仿宋" w:hAnsi="仿宋" w:eastAsia="仿宋"/>
          <w:bCs/>
          <w:sz w:val="24"/>
        </w:rPr>
      </w:pPr>
      <w:r>
        <w:rPr>
          <w:rFonts w:hint="eastAsia" w:ascii="仿宋" w:hAnsi="仿宋" w:eastAsia="仿宋"/>
          <w:bCs/>
          <w:sz w:val="24"/>
        </w:rPr>
        <w:t>专业建设委员会遵循学生职业成长规律和职业素质养成，以旅行社、旅游饭店的工作过程为导向，确定了本专业就业岗位为旅行社导游员、接待员、营销员、计调员；旅游饭店餐厅服务员、前厅客房服务员；其他旅游企业旅游营销与策划岗位、企业行政管理文职岗位等，校企双方共同确定专业岗位对应的典型工作任务；课程组成员对典型工作任务进行归纳，确定行动领域与学习领域，按照知识的相关性、递进性和学生的学习能力，对学习领域课程研讨、归纳和排序，构建符合人才培养模式的课程体系。</w:t>
      </w:r>
    </w:p>
    <w:p>
      <w:pPr>
        <w:spacing w:line="360" w:lineRule="auto"/>
        <w:ind w:firstLine="640"/>
        <w:rPr>
          <w:rFonts w:ascii="仿宋" w:hAnsi="仿宋" w:eastAsia="仿宋"/>
          <w:bCs/>
          <w:sz w:val="24"/>
        </w:rPr>
      </w:pPr>
      <w:r>
        <w:rPr>
          <w:rFonts w:hint="eastAsia" w:ascii="仿宋" w:hAnsi="仿宋" w:eastAsia="仿宋"/>
          <w:bCs/>
          <w:sz w:val="24"/>
        </w:rPr>
        <w:t>（2）课程内容的开发</w:t>
      </w:r>
    </w:p>
    <w:p>
      <w:pPr>
        <w:spacing w:line="360" w:lineRule="auto"/>
        <w:ind w:firstLine="480" w:firstLineChars="200"/>
        <w:rPr>
          <w:rFonts w:ascii="仿宋" w:hAnsi="仿宋" w:eastAsia="仿宋"/>
          <w:bCs/>
          <w:sz w:val="24"/>
        </w:rPr>
      </w:pPr>
      <w:r>
        <w:rPr>
          <w:rFonts w:hint="eastAsia" w:ascii="仿宋" w:hAnsi="仿宋" w:eastAsia="仿宋"/>
          <w:bCs/>
          <w:sz w:val="24"/>
        </w:rPr>
        <w:t>根据旅游管理专业职业岗位的能力要求，分析本专业人才应具有的技能和职业素质，参照旅游行业标准和职业标准，与旅游企业共同探讨，基于工作过程确定和安排课程内容，根据用人单位、毕业生反馈意见，对课程内容不断进行修订，实现专业课程和职业资格证书衔接。</w:t>
      </w:r>
    </w:p>
    <w:p>
      <w:pPr>
        <w:spacing w:line="360" w:lineRule="auto"/>
        <w:ind w:firstLine="480" w:firstLineChars="200"/>
        <w:rPr>
          <w:rFonts w:ascii="仿宋" w:hAnsi="仿宋" w:eastAsia="仿宋"/>
          <w:bCs/>
          <w:sz w:val="24"/>
        </w:rPr>
      </w:pPr>
      <w:r>
        <w:rPr>
          <w:rFonts w:hint="eastAsia" w:ascii="仿宋" w:hAnsi="仿宋" w:eastAsia="仿宋"/>
          <w:bCs/>
          <w:sz w:val="24"/>
        </w:rPr>
        <w:t>（3）体现内蒙古特色。</w:t>
      </w:r>
    </w:p>
    <w:p>
      <w:pPr>
        <w:spacing w:line="360" w:lineRule="auto"/>
        <w:ind w:firstLine="640"/>
        <w:rPr>
          <w:rFonts w:ascii="仿宋" w:hAnsi="仿宋" w:eastAsia="仿宋"/>
          <w:bCs/>
          <w:sz w:val="24"/>
        </w:rPr>
      </w:pPr>
      <w:r>
        <w:rPr>
          <w:rFonts w:hint="eastAsia" w:ascii="仿宋" w:hAnsi="仿宋" w:eastAsia="仿宋"/>
          <w:bCs/>
          <w:sz w:val="24"/>
        </w:rPr>
        <w:t>在专业基础课安排上，开设《内蒙古民俗旅游》特色课程，本课程与内蒙古地域特点密切相关，教学内容也紧密联系内蒙古旅游行业特色，提高学生对旅游行业的热爱，对家乡的热爱。</w:t>
      </w:r>
    </w:p>
    <w:p>
      <w:pPr>
        <w:spacing w:line="500" w:lineRule="exact"/>
        <w:rPr>
          <w:rFonts w:ascii="仿宋" w:hAnsi="仿宋" w:eastAsia="仿宋" w:cs="仿宋"/>
          <w:b/>
          <w:bCs/>
          <w:sz w:val="24"/>
        </w:rPr>
      </w:pPr>
      <w:r>
        <w:rPr>
          <w:rFonts w:hint="eastAsia" w:ascii="仿宋" w:hAnsi="仿宋" w:eastAsia="仿宋" w:cs="仿宋"/>
          <w:b/>
          <w:bCs/>
          <w:sz w:val="24"/>
        </w:rPr>
        <w:t>3.课程教学实施</w:t>
      </w:r>
    </w:p>
    <w:p>
      <w:pPr>
        <w:spacing w:line="360" w:lineRule="auto"/>
        <w:ind w:firstLine="720" w:firstLineChars="300"/>
        <w:rPr>
          <w:rFonts w:ascii="仿宋" w:hAnsi="仿宋" w:eastAsia="仿宋"/>
          <w:bCs/>
          <w:sz w:val="24"/>
        </w:rPr>
      </w:pPr>
      <w:r>
        <w:rPr>
          <w:rFonts w:hint="eastAsia" w:ascii="仿宋" w:hAnsi="仿宋" w:eastAsia="仿宋"/>
          <w:bCs/>
          <w:sz w:val="24"/>
        </w:rPr>
        <w:t>本人才培养方案经过三年五个阶段培养实现学生“基本技能”、“专业技能”、“综合技能”的提升，采用学校和企业两种教学环境，一以贯之安全教育。</w:t>
      </w:r>
    </w:p>
    <w:p>
      <w:pPr>
        <w:spacing w:line="360" w:lineRule="auto"/>
        <w:ind w:firstLine="640"/>
        <w:rPr>
          <w:rFonts w:ascii="仿宋" w:hAnsi="仿宋" w:eastAsia="仿宋"/>
          <w:bCs/>
          <w:sz w:val="24"/>
        </w:rPr>
      </w:pPr>
      <w:r>
        <w:rPr>
          <w:rFonts w:hint="eastAsia" w:ascii="仿宋" w:hAnsi="仿宋" w:eastAsia="仿宋"/>
          <w:bCs/>
          <w:sz w:val="24"/>
        </w:rPr>
        <w:t>具体如下：</w:t>
      </w:r>
    </w:p>
    <w:p>
      <w:pPr>
        <w:spacing w:line="360" w:lineRule="auto"/>
        <w:ind w:firstLine="640"/>
        <w:rPr>
          <w:rFonts w:ascii="仿宋" w:hAnsi="仿宋" w:eastAsia="仿宋"/>
          <w:bCs/>
          <w:sz w:val="24"/>
        </w:rPr>
      </w:pPr>
      <w:r>
        <w:rPr>
          <w:rFonts w:hint="eastAsia" w:ascii="仿宋" w:hAnsi="仿宋" w:eastAsia="仿宋"/>
          <w:bCs/>
          <w:sz w:val="24"/>
        </w:rPr>
        <w:t>第一阶段：在第一、二学期完成。学生在校内学习公共课程和专业基础课程，并安排学生进入国内知名旅游地进行认知实习（利用旅游淡季）。</w:t>
      </w:r>
    </w:p>
    <w:p>
      <w:pPr>
        <w:spacing w:line="360" w:lineRule="auto"/>
        <w:ind w:firstLine="640"/>
        <w:rPr>
          <w:rFonts w:ascii="仿宋" w:hAnsi="仿宋" w:eastAsia="仿宋"/>
          <w:bCs/>
          <w:sz w:val="24"/>
        </w:rPr>
      </w:pPr>
      <w:r>
        <w:rPr>
          <w:rFonts w:hint="eastAsia" w:ascii="仿宋" w:hAnsi="仿宋" w:eastAsia="仿宋"/>
          <w:bCs/>
          <w:sz w:val="24"/>
        </w:rPr>
        <w:t>第二阶段：在第三学期完成。将国家导游资格证的考证内容融入教学内容，并通过之前的学习和跟岗实习，本学期开设素质提升和能力提升课程，通过拓展学习，能够使学生更好的了解自己未来的职业生涯提升的方向。</w:t>
      </w:r>
    </w:p>
    <w:p>
      <w:pPr>
        <w:spacing w:line="360" w:lineRule="auto"/>
        <w:ind w:firstLine="640"/>
        <w:rPr>
          <w:rFonts w:ascii="仿宋" w:hAnsi="仿宋" w:eastAsia="仿宋"/>
          <w:bCs/>
          <w:sz w:val="24"/>
        </w:rPr>
      </w:pPr>
      <w:r>
        <w:rPr>
          <w:rFonts w:hint="eastAsia" w:ascii="仿宋" w:hAnsi="仿宋" w:eastAsia="仿宋"/>
          <w:bCs/>
          <w:sz w:val="24"/>
        </w:rPr>
        <w:t>第三阶段：在第四学期完成。将不同岗位的工作流程标准融入专业课程学习中，并安排学生进入旅游企业进行不同岗位的顶岗实习。（利用旅游旺季）</w:t>
      </w:r>
    </w:p>
    <w:p>
      <w:pPr>
        <w:spacing w:line="360" w:lineRule="auto"/>
        <w:ind w:firstLine="640"/>
        <w:rPr>
          <w:rFonts w:ascii="仿宋" w:hAnsi="仿宋" w:eastAsia="仿宋"/>
          <w:bCs/>
          <w:sz w:val="24"/>
        </w:rPr>
      </w:pPr>
      <w:r>
        <w:rPr>
          <w:rFonts w:hint="eastAsia" w:ascii="仿宋" w:hAnsi="仿宋" w:eastAsia="仿宋"/>
          <w:bCs/>
          <w:sz w:val="24"/>
        </w:rPr>
        <w:t>第四阶段：在第五学期完成。通过之前的学习和各阶段实习，学生自主选择进入企业定岗实践并接受旅游企业文化熏陶，提升专业综合能力。</w:t>
      </w:r>
    </w:p>
    <w:p>
      <w:pPr>
        <w:spacing w:line="360" w:lineRule="auto"/>
        <w:ind w:firstLine="640"/>
        <w:rPr>
          <w:rFonts w:ascii="仿宋" w:hAnsi="仿宋" w:eastAsia="仿宋"/>
          <w:bCs/>
          <w:sz w:val="24"/>
        </w:rPr>
      </w:pPr>
      <w:r>
        <w:rPr>
          <w:rFonts w:hint="eastAsia" w:ascii="仿宋" w:hAnsi="仿宋" w:eastAsia="仿宋"/>
          <w:bCs/>
          <w:sz w:val="24"/>
        </w:rPr>
        <w:t>第五阶段：在第六学期完成。进行理论升华，毕业论文设计。</w:t>
      </w:r>
    </w:p>
    <w:p>
      <w:pPr>
        <w:spacing w:line="500" w:lineRule="exact"/>
        <w:rPr>
          <w:rFonts w:ascii="仿宋" w:hAnsi="仿宋" w:eastAsia="仿宋" w:cs="仿宋"/>
          <w:b/>
          <w:bCs/>
          <w:sz w:val="24"/>
        </w:rPr>
      </w:pPr>
      <w:r>
        <w:rPr>
          <w:rFonts w:hint="eastAsia" w:ascii="仿宋" w:hAnsi="仿宋" w:eastAsia="仿宋" w:cs="仿宋"/>
          <w:b/>
          <w:bCs/>
          <w:sz w:val="24"/>
        </w:rPr>
        <w:t>4.实施条件保障</w:t>
      </w:r>
    </w:p>
    <w:p>
      <w:pPr>
        <w:spacing w:line="360" w:lineRule="auto"/>
        <w:ind w:firstLine="480" w:firstLineChars="200"/>
        <w:rPr>
          <w:rFonts w:ascii="仿宋" w:hAnsi="仿宋" w:eastAsia="仿宋"/>
          <w:bCs/>
          <w:sz w:val="24"/>
        </w:rPr>
      </w:pPr>
      <w:r>
        <w:rPr>
          <w:rFonts w:hint="eastAsia" w:ascii="仿宋" w:hAnsi="仿宋" w:eastAsia="仿宋"/>
          <w:bCs/>
          <w:sz w:val="24"/>
        </w:rPr>
        <w:t>（1）专业教学团队建设</w:t>
      </w:r>
    </w:p>
    <w:p>
      <w:pPr>
        <w:spacing w:line="360" w:lineRule="auto"/>
        <w:ind w:firstLine="480" w:firstLineChars="200"/>
        <w:rPr>
          <w:rFonts w:ascii="仿宋" w:hAnsi="仿宋" w:eastAsia="仿宋"/>
          <w:bCs/>
          <w:sz w:val="24"/>
        </w:rPr>
      </w:pPr>
      <w:r>
        <w:rPr>
          <w:rFonts w:hint="eastAsia" w:ascii="仿宋" w:hAnsi="仿宋" w:eastAsia="仿宋"/>
          <w:bCs/>
          <w:sz w:val="24"/>
        </w:rPr>
        <w:t>通过教师培训、企业顶岗、聘任（聘用）行业专家、人才引进与用人激励机制相结合的建设模式，建设一支专兼结合、结构合理、高水平的双师队伍。为确保教学质量，适应行业发展需求，通过参加国内外专业培训、企业顶岗实习、挂锻炼、组织考察进修等途径，培养专业带头人，引进、培养骨干教师，建成1支优秀的专业教学团队或创新团队。具体标准如下：</w:t>
      </w:r>
    </w:p>
    <w:p>
      <w:pPr>
        <w:spacing w:line="360" w:lineRule="auto"/>
        <w:rPr>
          <w:rFonts w:ascii="仿宋" w:hAnsi="仿宋" w:eastAsia="仿宋"/>
          <w:bCs/>
          <w:sz w:val="24"/>
        </w:rPr>
      </w:pPr>
      <w:r>
        <w:rPr>
          <w:rFonts w:hint="eastAsia" w:ascii="仿宋" w:hAnsi="仿宋" w:eastAsia="仿宋"/>
          <w:bCs/>
          <w:sz w:val="24"/>
        </w:rPr>
        <w:t xml:space="preserve">    1）专业带头人和教研室主任；专业应该按照标准聘请旅游行业企业资深专家作为专业带头人，校内选拔培养专业带头人。应选择具有高等管理职务（或中级技术职务和硕士以上学位）；具有较强的协作能力和组织协调能力；具有专兼职旅游行业企业工作经历，具有相应社会职业资格；具有3年以上骨干教师经历，且业绩突出，获得多项专业建设、课程建设等成果；在校企合作、产学研结合工作中成绩显著者作为教研室主任；编制专业人才培养方案等文件。 </w:t>
      </w:r>
    </w:p>
    <w:p>
      <w:pPr>
        <w:spacing w:line="360" w:lineRule="auto"/>
        <w:rPr>
          <w:rFonts w:ascii="仿宋" w:hAnsi="仿宋" w:eastAsia="仿宋"/>
          <w:bCs/>
          <w:sz w:val="24"/>
        </w:rPr>
      </w:pPr>
      <w:r>
        <w:rPr>
          <w:rFonts w:hint="eastAsia" w:ascii="仿宋" w:hAnsi="仿宋" w:eastAsia="仿宋"/>
          <w:bCs/>
          <w:sz w:val="24"/>
        </w:rPr>
        <w:t xml:space="preserve">    2）专业专任教师；要求专任教师具有教师资格、旅游行业企业工作经历、职业资格以及导游带团能力和相关知识结构。双师素质专业教师比例达到90%。</w:t>
      </w:r>
    </w:p>
    <w:p>
      <w:pPr>
        <w:spacing w:line="360" w:lineRule="auto"/>
        <w:rPr>
          <w:rFonts w:ascii="仿宋" w:hAnsi="仿宋" w:eastAsia="仿宋"/>
          <w:bCs/>
          <w:sz w:val="24"/>
        </w:rPr>
      </w:pPr>
      <w:r>
        <w:rPr>
          <w:rFonts w:hint="eastAsia" w:ascii="仿宋" w:hAnsi="仿宋" w:eastAsia="仿宋"/>
          <w:bCs/>
          <w:sz w:val="24"/>
        </w:rPr>
        <w:t xml:space="preserve">    3）专业兼职教师；具有旅游行业企业相应职业工作岗位年限、职业资格以及导游带团能力和知识结构。兼职教师承担的专业课学时比例达到50%。</w:t>
      </w:r>
    </w:p>
    <w:p>
      <w:pPr>
        <w:spacing w:line="360" w:lineRule="auto"/>
        <w:ind w:firstLine="480" w:firstLineChars="200"/>
        <w:rPr>
          <w:rFonts w:ascii="仿宋" w:hAnsi="仿宋" w:eastAsia="仿宋"/>
          <w:bCs/>
          <w:sz w:val="24"/>
        </w:rPr>
      </w:pPr>
      <w:r>
        <w:rPr>
          <w:rFonts w:hint="eastAsia" w:ascii="仿宋" w:hAnsi="仿宋" w:eastAsia="仿宋"/>
          <w:bCs/>
          <w:sz w:val="24"/>
        </w:rPr>
        <w:t>（2）实习实训基地建设</w:t>
      </w:r>
    </w:p>
    <w:p>
      <w:pPr>
        <w:spacing w:line="360" w:lineRule="auto"/>
        <w:ind w:firstLine="480" w:firstLineChars="200"/>
        <w:rPr>
          <w:rFonts w:ascii="仿宋" w:hAnsi="仿宋" w:eastAsia="仿宋"/>
          <w:bCs/>
          <w:sz w:val="24"/>
        </w:rPr>
      </w:pPr>
      <w:r>
        <w:rPr>
          <w:rFonts w:hint="eastAsia" w:ascii="仿宋" w:hAnsi="仿宋" w:eastAsia="仿宋"/>
          <w:bCs/>
          <w:sz w:val="24"/>
        </w:rPr>
        <w:t>为体现旅游管理专业实践教学特色，建设满足实践教学要求的校内校外实习实训基地，紧贴市场需求，确保实践教学设计的可行性和有效性。以课程实践、认知实习、跟岗实习、顶岗实习、自主实习和毕业设计构成“六度递进”的实践教学来提升学生职业综合能力。在现有实训条件（前厅与客房实训室，中、西餐实训室，调酒实训室）的基础上，新建和扩建四个校内实训室：旅游虚拟仿真3D实训室、旅行社实体运营中心、酒店管理实训中心和茶艺实训室。</w:t>
      </w:r>
    </w:p>
    <w:p>
      <w:pPr>
        <w:spacing w:line="360" w:lineRule="auto"/>
        <w:ind w:firstLine="480" w:firstLineChars="200"/>
        <w:rPr>
          <w:rFonts w:ascii="仿宋" w:hAnsi="仿宋" w:eastAsia="仿宋"/>
          <w:bCs/>
          <w:sz w:val="24"/>
        </w:rPr>
      </w:pPr>
      <w:r>
        <w:rPr>
          <w:rFonts w:hint="eastAsia" w:ascii="仿宋" w:hAnsi="仿宋" w:eastAsia="仿宋"/>
          <w:bCs/>
          <w:sz w:val="24"/>
        </w:rPr>
        <w:t xml:space="preserve">为大力落实“校企合作、工学结合”的教学模式，培养出旅游企业所需人才。近几年我系与众多企业建立了良好的合作关系，与北京、内蒙古、兴安盟等地的旅行社、景区及酒店建立30多个校外实训基地，为学生提供实训场所和顶岗实习岗位。 </w:t>
      </w:r>
    </w:p>
    <w:p>
      <w:pPr>
        <w:spacing w:line="360" w:lineRule="auto"/>
        <w:ind w:firstLine="480" w:firstLineChars="200"/>
        <w:rPr>
          <w:rFonts w:ascii="仿宋" w:hAnsi="仿宋" w:eastAsia="仿宋"/>
          <w:bCs/>
          <w:sz w:val="24"/>
        </w:rPr>
      </w:pPr>
      <w:r>
        <w:rPr>
          <w:rFonts w:hint="eastAsia" w:ascii="仿宋" w:hAnsi="仿宋" w:eastAsia="仿宋"/>
          <w:bCs/>
          <w:sz w:val="24"/>
        </w:rPr>
        <w:t>（3）教材及图书、数字化（网络）资料等学习资源</w:t>
      </w:r>
    </w:p>
    <w:p>
      <w:pPr>
        <w:spacing w:line="360" w:lineRule="auto"/>
        <w:ind w:firstLine="720" w:firstLineChars="300"/>
        <w:rPr>
          <w:rFonts w:ascii="仿宋" w:hAnsi="仿宋" w:eastAsia="仿宋"/>
          <w:bCs/>
          <w:sz w:val="24"/>
        </w:rPr>
      </w:pPr>
      <w:r>
        <w:rPr>
          <w:rFonts w:hint="eastAsia" w:ascii="仿宋" w:hAnsi="仿宋" w:eastAsia="仿宋"/>
          <w:bCs/>
          <w:sz w:val="24"/>
        </w:rPr>
        <w:t>1）优质核心课程建设</w:t>
      </w:r>
    </w:p>
    <w:p>
      <w:pPr>
        <w:spacing w:line="360" w:lineRule="auto"/>
        <w:ind w:firstLine="640"/>
        <w:rPr>
          <w:rFonts w:ascii="仿宋" w:hAnsi="仿宋" w:eastAsia="仿宋"/>
          <w:bCs/>
          <w:sz w:val="24"/>
        </w:rPr>
      </w:pPr>
      <w:r>
        <w:rPr>
          <w:rFonts w:hint="eastAsia" w:ascii="仿宋" w:hAnsi="仿宋" w:eastAsia="仿宋"/>
          <w:bCs/>
          <w:sz w:val="24"/>
        </w:rPr>
        <w:t xml:space="preserve">依据岗位需求，遵循科学性、情景性和人本性原则，以真实工作过程为导向整合改造原有的专业课程，将《旅行社经营管理》、《旅游市场营销》、《酒店管理基础与实务》、《旅游产品规划与开发》4门课程建成 “基于工作过程的项目导向、任务驱动”的优质核心课程，制定课程标准，完成课程设计，创设学习情境，完善网络资源，从而带动专业其它课程建设，推进专业课程改革与建设。 </w:t>
      </w:r>
    </w:p>
    <w:p>
      <w:pPr>
        <w:spacing w:line="480" w:lineRule="exact"/>
        <w:ind w:firstLine="720" w:firstLineChars="300"/>
        <w:rPr>
          <w:rFonts w:ascii="仿宋" w:hAnsi="仿宋" w:eastAsia="仿宋"/>
          <w:bCs/>
          <w:sz w:val="24"/>
        </w:rPr>
      </w:pPr>
      <w:r>
        <w:rPr>
          <w:rFonts w:hint="eastAsia" w:ascii="仿宋" w:hAnsi="仿宋" w:eastAsia="仿宋"/>
          <w:bCs/>
          <w:sz w:val="24"/>
        </w:rPr>
        <w:t>2）校本特色教材建设</w:t>
      </w:r>
    </w:p>
    <w:p>
      <w:pPr>
        <w:spacing w:line="480" w:lineRule="exact"/>
        <w:ind w:firstLine="480" w:firstLineChars="200"/>
        <w:rPr>
          <w:rFonts w:ascii="仿宋" w:hAnsi="仿宋" w:eastAsia="仿宋"/>
          <w:bCs/>
          <w:sz w:val="24"/>
        </w:rPr>
      </w:pPr>
      <w:r>
        <w:rPr>
          <w:rFonts w:hint="eastAsia" w:ascii="仿宋" w:hAnsi="仿宋" w:eastAsia="仿宋"/>
          <w:bCs/>
          <w:sz w:val="24"/>
        </w:rPr>
        <w:t>建设开发具有实用性、创新性、独具兴安盟地域特色、适合旅游管理专业特点、以及适合进行行业培训和地区培训的校本教材（讲义）：《茶艺操作流程与规范》、《旅行社经营管理实务》、《酒店服务实训教程》、《内蒙古民俗旅游》。</w:t>
      </w:r>
    </w:p>
    <w:p>
      <w:pPr>
        <w:spacing w:line="480" w:lineRule="exact"/>
        <w:ind w:firstLine="720" w:firstLineChars="300"/>
        <w:rPr>
          <w:rFonts w:ascii="仿宋" w:hAnsi="仿宋" w:eastAsia="仿宋"/>
          <w:bCs/>
          <w:sz w:val="24"/>
        </w:rPr>
      </w:pPr>
      <w:r>
        <w:rPr>
          <w:rFonts w:hint="eastAsia" w:ascii="仿宋" w:hAnsi="仿宋" w:eastAsia="仿宋"/>
          <w:bCs/>
          <w:sz w:val="24"/>
        </w:rPr>
        <w:t>3）建立专业教学资源库</w:t>
      </w:r>
    </w:p>
    <w:p>
      <w:pPr>
        <w:spacing w:line="480" w:lineRule="exact"/>
        <w:ind w:firstLine="480" w:firstLineChars="200"/>
        <w:rPr>
          <w:rFonts w:ascii="仿宋" w:hAnsi="仿宋" w:eastAsia="仿宋"/>
          <w:bCs/>
          <w:sz w:val="24"/>
        </w:rPr>
      </w:pPr>
      <w:r>
        <w:rPr>
          <w:rFonts w:hint="eastAsia" w:ascii="仿宋" w:hAnsi="仿宋" w:eastAsia="仿宋"/>
          <w:bCs/>
          <w:sz w:val="24"/>
        </w:rPr>
        <w:t>通过企业参与、学院教学信息化部门支持，从辅助教师教学、提供学生学习资源、进行教学互动等几个层面进行研究，开发建设提升学生实践能力和岗位适应能力的共享型教学资源库。</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七、教学计划安排表</w:t>
      </w:r>
    </w:p>
    <w:p>
      <w:pPr>
        <w:spacing w:line="500" w:lineRule="exact"/>
        <w:rPr>
          <w:rFonts w:ascii="仿宋" w:hAnsi="仿宋" w:eastAsia="仿宋" w:cs="仿宋"/>
          <w:sz w:val="24"/>
        </w:rPr>
        <w:sectPr>
          <w:footerReference r:id="rId3" w:type="default"/>
          <w:pgSz w:w="11906" w:h="16838"/>
          <w:pgMar w:top="1440" w:right="1689" w:bottom="1440" w:left="1633" w:header="851" w:footer="992" w:gutter="0"/>
          <w:cols w:space="720" w:num="1"/>
          <w:docGrid w:type="lines" w:linePitch="312" w:charSpace="0"/>
        </w:sectPr>
      </w:pPr>
    </w:p>
    <w:tbl>
      <w:tblPr>
        <w:tblStyle w:val="10"/>
        <w:tblW w:w="15643" w:type="dxa"/>
        <w:tblInd w:w="-115" w:type="dxa"/>
        <w:tblLayout w:type="fixed"/>
        <w:tblCellMar>
          <w:top w:w="0" w:type="dxa"/>
          <w:left w:w="108" w:type="dxa"/>
          <w:bottom w:w="0" w:type="dxa"/>
          <w:right w:w="108" w:type="dxa"/>
        </w:tblCellMar>
      </w:tblPr>
      <w:tblGrid>
        <w:gridCol w:w="432"/>
        <w:gridCol w:w="483"/>
        <w:gridCol w:w="584"/>
        <w:gridCol w:w="1066"/>
        <w:gridCol w:w="130"/>
        <w:gridCol w:w="2408"/>
        <w:gridCol w:w="649"/>
        <w:gridCol w:w="464"/>
        <w:gridCol w:w="66"/>
        <w:gridCol w:w="456"/>
        <w:gridCol w:w="539"/>
        <w:gridCol w:w="601"/>
        <w:gridCol w:w="539"/>
        <w:gridCol w:w="456"/>
        <w:gridCol w:w="54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643" w:type="dxa"/>
            <w:gridSpan w:val="23"/>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5"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538"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11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679" w:type="dxa"/>
            <w:gridSpan w:val="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253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类型(A/B/C)</w:t>
            </w:r>
          </w:p>
        </w:tc>
        <w:tc>
          <w:tcPr>
            <w:tcW w:w="464"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601"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3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253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60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253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601"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1900001323</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马列部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1900001324</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马列部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1900001303</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形势与政策</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rPr>
            </w:pPr>
            <w:r>
              <w:rPr>
                <w:rFonts w:hint="eastAsia" w:ascii="等线" w:hAnsi="宋体" w:eastAsia="等线"/>
                <w:kern w:val="0"/>
                <w:sz w:val="22"/>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40</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40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马列部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1900001304</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职业规划与就业指导</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9</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招就处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1900001305</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创新创业基础（理论）</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创新创业</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1900001306</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32</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32</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1900001307</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体育II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1900001308</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体育选项I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1900001309</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体育选项II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1900001325</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1900001326</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5"/>
                <w:szCs w:val="15"/>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kern w:val="0"/>
                <w:sz w:val="15"/>
                <w:szCs w:val="15"/>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Theme="minorEastAsia"/>
                <w:kern w:val="0"/>
                <w:sz w:val="16"/>
                <w:szCs w:val="16"/>
                <w:lang w:val="en-US" w:eastAsia="zh-CN"/>
              </w:rPr>
            </w:pPr>
            <w:r>
              <w:rPr>
                <w:rFonts w:hint="eastAsia" w:ascii="宋体" w:hAnsi="宋体"/>
                <w:kern w:val="0"/>
                <w:sz w:val="16"/>
                <w:szCs w:val="16"/>
              </w:rPr>
              <w:t>19000013</w:t>
            </w:r>
            <w:r>
              <w:rPr>
                <w:rFonts w:hint="eastAsia" w:ascii="宋体" w:hAnsi="宋体"/>
                <w:kern w:val="0"/>
                <w:sz w:val="16"/>
                <w:szCs w:val="16"/>
                <w:lang w:val="en-US" w:eastAsia="zh-CN"/>
              </w:rPr>
              <w:t>27</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hint="eastAsia" w:ascii="宋体" w:hAnsi="宋体"/>
                <w:color w:val="FF0000"/>
                <w:kern w:val="0"/>
                <w:sz w:val="16"/>
                <w:szCs w:val="16"/>
              </w:rPr>
              <w:t>安全教育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18</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hint="eastAsia" w:ascii="宋体" w:hAnsi="宋体"/>
                <w:color w:val="FF0000"/>
                <w:kern w:val="0"/>
                <w:sz w:val="16"/>
                <w:szCs w:val="16"/>
              </w:rPr>
              <w:t>18</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lang w:val="en-US" w:eastAsia="zh-CN"/>
              </w:rPr>
              <w:t>1</w:t>
            </w: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FF0000"/>
                <w:kern w:val="0"/>
                <w:sz w:val="16"/>
                <w:szCs w:val="16"/>
              </w:rPr>
            </w:pPr>
            <w:r>
              <w:rPr>
                <w:rFonts w:hint="eastAsia" w:ascii="宋体" w:hAnsi="宋体"/>
                <w:color w:val="FF0000"/>
                <w:kern w:val="0"/>
                <w:sz w:val="16"/>
                <w:szCs w:val="16"/>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1900001317</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劳动教育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rPr>
            </w:pPr>
            <w:r>
              <w:rPr>
                <w:rFonts w:hint="eastAsia" w:ascii="等线" w:hAnsi="宋体" w:eastAsia="等线"/>
                <w:kern w:val="0"/>
                <w:sz w:val="22"/>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8"/>
                <w:szCs w:val="18"/>
              </w:rPr>
            </w:pP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kern w:val="0"/>
                <w:sz w:val="18"/>
                <w:szCs w:val="18"/>
                <w:lang w:eastAsia="zh-CN"/>
              </w:rPr>
            </w:pPr>
            <w:r>
              <w:rPr>
                <w:rFonts w:hint="eastAsia" w:ascii="仿宋" w:hAnsi="仿宋" w:eastAsia="仿宋"/>
                <w:kern w:val="0"/>
                <w:sz w:val="18"/>
                <w:szCs w:val="18"/>
                <w:lang w:val="en-US" w:eastAsia="zh-CN"/>
              </w:rPr>
              <w:t>2</w:t>
            </w:r>
            <w:bookmarkStart w:id="12" w:name="_GoBack"/>
            <w:bookmarkEnd w:id="12"/>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lang w:val="en-US" w:eastAsia="zh-CN"/>
              </w:rPr>
              <w:t>1</w:t>
            </w: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1900001320</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1900001319</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大学生综合素质教育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大学生综合素质教育分获取项目表（不计课时）</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30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782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445</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5"/>
                <w:szCs w:val="15"/>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选修1</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选修2</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选修3</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30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784"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890</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499</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5"/>
                <w:szCs w:val="15"/>
              </w:rPr>
            </w:pPr>
            <w:r>
              <w:rPr>
                <w:rFonts w:hint="eastAsia" w:ascii="宋体" w:hAnsi="宋体"/>
                <w:kern w:val="0"/>
                <w:sz w:val="15"/>
                <w:szCs w:val="15"/>
              </w:rPr>
              <w:t>31.4%</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1906011301</w:t>
            </w:r>
          </w:p>
        </w:tc>
        <w:tc>
          <w:tcPr>
            <w:tcW w:w="253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旅游概论</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24</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1906011302</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旅游政策法规</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C00000"/>
                <w:kern w:val="0"/>
                <w:sz w:val="15"/>
                <w:szCs w:val="15"/>
              </w:rPr>
            </w:pPr>
            <w:r>
              <w:rPr>
                <w:rFonts w:hint="eastAsia" w:ascii="仿宋" w:hAnsi="仿宋" w:eastAsia="仿宋"/>
                <w:color w:val="C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1906011303</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全国导游基础知识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27</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45</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1906011304</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中国旅游地理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15"/>
                <w:szCs w:val="15"/>
              </w:rPr>
            </w:pPr>
            <w:r>
              <w:rPr>
                <w:rFonts w:hint="eastAsia" w:ascii="仿宋" w:hAnsi="仿宋" w:eastAsia="仿宋"/>
                <w:color w:val="FF0000"/>
                <w:kern w:val="0"/>
                <w:sz w:val="15"/>
                <w:szCs w:val="15"/>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FF0000"/>
                <w:kern w:val="0"/>
                <w:sz w:val="18"/>
                <w:szCs w:val="18"/>
              </w:rPr>
            </w:pPr>
            <w:r>
              <w:rPr>
                <w:rFonts w:hint="eastAsia" w:ascii="仿宋" w:hAnsi="仿宋" w:eastAsia="仿宋"/>
                <w:color w:val="FF0000"/>
                <w:kern w:val="0"/>
                <w:sz w:val="18"/>
                <w:szCs w:val="18"/>
              </w:rPr>
              <w:t>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1906011305</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旅游服务心理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1906011306</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导游语言训练</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52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C00000"/>
                <w:kern w:val="0"/>
                <w:sz w:val="15"/>
                <w:szCs w:val="15"/>
              </w:rPr>
            </w:pPr>
            <w:r>
              <w:rPr>
                <w:rFonts w:hint="eastAsia" w:ascii="仿宋" w:hAnsi="仿宋" w:eastAsia="仿宋"/>
                <w:color w:val="C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1906011307</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内蒙古导游基础知识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1906011308</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服务礼仪</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1906011309</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内蒙古民俗旅游</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27</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45</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仿宋" w:hAnsi="仿宋" w:eastAsia="仿宋"/>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540"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1906011310</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旅游公共关系</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1906011311</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管理学基础</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2</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1906011312</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导游业务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23</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49</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1906011313</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旅游市场营销</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1906011314</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旅行社管理与实务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52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1906011315</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旅游景点管理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36</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13</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23</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1906011316</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酒店管理基础与实务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51</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仿宋" w:hAnsi="仿宋" w:eastAsia="仿宋"/>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1906011317</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模拟导游</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50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noWrap/>
            <w:vAlign w:val="center"/>
          </w:tcPr>
          <w:p>
            <w:pPr>
              <w:widowControl/>
              <w:jc w:val="left"/>
              <w:rPr>
                <w:rFonts w:ascii="仿宋" w:hAnsi="仿宋" w:eastAsia="仿宋"/>
                <w:kern w:val="0"/>
                <w:sz w:val="15"/>
                <w:szCs w:val="15"/>
              </w:rPr>
            </w:pPr>
            <w:r>
              <w:rPr>
                <w:rFonts w:hint="eastAsia" w:ascii="仿宋" w:hAnsi="仿宋" w:eastAsia="仿宋"/>
                <w:kern w:val="0"/>
                <w:sz w:val="15"/>
                <w:szCs w:val="15"/>
              </w:rPr>
              <w:t>1906011318</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旅游产品规划与开发</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72</w:t>
            </w:r>
          </w:p>
        </w:tc>
        <w:tc>
          <w:tcPr>
            <w:tcW w:w="601"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25</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47</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C00000"/>
                <w:kern w:val="0"/>
                <w:sz w:val="15"/>
                <w:szCs w:val="15"/>
              </w:rPr>
            </w:pPr>
            <w:r>
              <w:rPr>
                <w:rFonts w:hint="eastAsia" w:ascii="仿宋" w:hAnsi="仿宋" w:eastAsia="仿宋"/>
                <w:color w:val="C00000"/>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仿宋" w:hAnsi="仿宋" w:eastAsia="仿宋"/>
                <w:kern w:val="0"/>
                <w:sz w:val="15"/>
                <w:szCs w:val="15"/>
              </w:rPr>
              <w:t>1906011319</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仿宋" w:hAnsi="仿宋" w:eastAsia="仿宋"/>
                <w:kern w:val="0"/>
                <w:sz w:val="15"/>
                <w:szCs w:val="15"/>
              </w:rPr>
              <w:t>1906011320</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120</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451"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21</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仿宋" w:hAnsi="仿宋" w:eastAsia="仿宋"/>
                <w:kern w:val="0"/>
                <w:sz w:val="15"/>
                <w:szCs w:val="15"/>
              </w:rPr>
              <w:t>1906011321</w:t>
            </w:r>
          </w:p>
        </w:tc>
        <w:tc>
          <w:tcPr>
            <w:tcW w:w="2538"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676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270"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30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91</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1804</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364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1440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rPr>
            </w:pPr>
            <w:r>
              <w:rPr>
                <w:rFonts w:hint="eastAsia" w:ascii="等线" w:hAnsi="宋体" w:eastAsia="等线"/>
                <w:kern w:val="0"/>
                <w:sz w:val="22"/>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1906011301</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旅游英语</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72</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52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20</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1906011302</w:t>
            </w:r>
          </w:p>
        </w:tc>
        <w:tc>
          <w:tcPr>
            <w:tcW w:w="2408" w:type="dxa"/>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研学（红色文化、蒙元文化火山地质文化、野生动植物）</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18</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10</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1906011303</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实用蒙古语</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28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8</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1906011304</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餐饮服务与管理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24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12</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1906011305</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前厅服务、客房服务与管理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72</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60</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12</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1906011306</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民族舞蹈</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6</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30</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1906011307</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茶艺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0</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1906011308</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旅游应用文写作</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28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8</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1906011309</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旅游电子商务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12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24</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1906011310</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旅游传播原理与实务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36</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24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12</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196" w:type="dxa"/>
            <w:gridSpan w:val="2"/>
            <w:tcBorders>
              <w:top w:val="nil"/>
              <w:left w:val="nil"/>
              <w:bottom w:val="single" w:color="auto" w:sz="4" w:space="0"/>
              <w:right w:val="single" w:color="auto" w:sz="4" w:space="0"/>
            </w:tcBorders>
            <w:noWrap/>
            <w:vAlign w:val="center"/>
          </w:tcPr>
          <w:p>
            <w:pPr>
              <w:widowControl/>
              <w:rPr>
                <w:rFonts w:ascii="仿宋" w:hAnsi="仿宋" w:eastAsia="仿宋"/>
                <w:kern w:val="0"/>
                <w:sz w:val="15"/>
                <w:szCs w:val="15"/>
              </w:rPr>
            </w:pPr>
            <w:r>
              <w:rPr>
                <w:rFonts w:hint="eastAsia" w:ascii="仿宋" w:hAnsi="仿宋" w:eastAsia="仿宋"/>
                <w:kern w:val="0"/>
                <w:sz w:val="15"/>
                <w:szCs w:val="15"/>
              </w:rPr>
              <w:t>1906011311</w:t>
            </w:r>
          </w:p>
        </w:tc>
        <w:tc>
          <w:tcPr>
            <w:tcW w:w="240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旅游会计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72</w:t>
            </w:r>
          </w:p>
        </w:tc>
        <w:tc>
          <w:tcPr>
            <w:tcW w:w="601" w:type="dxa"/>
            <w:tcBorders>
              <w:top w:val="nil"/>
              <w:left w:val="nil"/>
              <w:bottom w:val="single" w:color="auto" w:sz="4" w:space="0"/>
              <w:right w:val="single" w:color="auto" w:sz="4" w:space="0"/>
            </w:tcBorders>
            <w:noWrap/>
            <w:vAlign w:val="center"/>
          </w:tcPr>
          <w:p>
            <w:pPr>
              <w:jc w:val="right"/>
              <w:rPr>
                <w:rFonts w:ascii="宋体" w:hAnsi="宋体"/>
                <w:sz w:val="16"/>
                <w:szCs w:val="16"/>
              </w:rPr>
            </w:pPr>
            <w:r>
              <w:rPr>
                <w:rFonts w:hint="eastAsia"/>
                <w:sz w:val="16"/>
                <w:szCs w:val="16"/>
              </w:rPr>
              <w:t>48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24</w:t>
            </w:r>
          </w:p>
        </w:tc>
        <w:tc>
          <w:tcPr>
            <w:tcW w:w="456" w:type="dxa"/>
            <w:tcBorders>
              <w:top w:val="nil"/>
              <w:left w:val="nil"/>
              <w:bottom w:val="single" w:color="auto" w:sz="4" w:space="0"/>
              <w:right w:val="single" w:color="auto" w:sz="4" w:space="0"/>
            </w:tcBorders>
            <w:noWrap/>
            <w:vAlign w:val="center"/>
          </w:tcPr>
          <w:p>
            <w:pPr>
              <w:jc w:val="center"/>
              <w:rPr>
                <w:rFonts w:ascii="仿宋" w:hAnsi="仿宋" w:eastAsia="仿宋"/>
                <w:sz w:val="16"/>
                <w:szCs w:val="16"/>
              </w:rPr>
            </w:pPr>
            <w:r>
              <w:rPr>
                <w:rFonts w:hint="eastAsia" w:ascii="仿宋" w:hAnsi="仿宋" w:eastAsia="仿宋"/>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30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ascii="Arial" w:hAnsi="Arial" w:cs="Arial"/>
                <w:kern w:val="0"/>
                <w:sz w:val="15"/>
                <w:szCs w:val="15"/>
              </w:rPr>
              <w:t>≥8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kern w:val="0"/>
                <w:sz w:val="15"/>
                <w:szCs w:val="15"/>
              </w:rPr>
              <w:t>144</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kern w:val="0"/>
                <w:sz w:val="15"/>
                <w:szCs w:val="15"/>
              </w:rPr>
              <w:t>75</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c>
          <w:tcPr>
            <w:tcW w:w="5784"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99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1948</w:t>
            </w:r>
          </w:p>
        </w:tc>
        <w:tc>
          <w:tcPr>
            <w:tcW w:w="60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433</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1515</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68.6%</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873"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873"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873"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27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29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31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27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59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146</w:t>
            </w:r>
          </w:p>
        </w:tc>
        <w:tc>
          <w:tcPr>
            <w:tcW w:w="24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2838</w:t>
            </w:r>
          </w:p>
        </w:tc>
        <w:tc>
          <w:tcPr>
            <w:tcW w:w="26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59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8</w:t>
            </w:r>
          </w:p>
        </w:tc>
        <w:tc>
          <w:tcPr>
            <w:tcW w:w="24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146</w:t>
            </w:r>
          </w:p>
        </w:tc>
        <w:tc>
          <w:tcPr>
            <w:tcW w:w="26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9"/>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59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476"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1515</w:t>
            </w:r>
          </w:p>
        </w:tc>
        <w:tc>
          <w:tcPr>
            <w:tcW w:w="2627" w:type="dxa"/>
            <w:gridSpan w:val="4"/>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kern w:val="0"/>
          <w:sz w:val="28"/>
          <w:szCs w:val="28"/>
        </w:rPr>
      </w:pPr>
      <w:r>
        <w:rPr>
          <w:rFonts w:hint="eastAsia" w:ascii="仿宋" w:hAnsi="仿宋" w:eastAsia="仿宋" w:cs="仿宋"/>
          <w:kern w:val="0"/>
          <w:sz w:val="24"/>
        </w:rPr>
        <w:t xml:space="preserve">附表2                   </w:t>
      </w:r>
      <w:r>
        <w:rPr>
          <w:rFonts w:hint="eastAsia" w:ascii="黑体" w:hAnsi="宋体" w:eastAsia="黑体" w:cs="黑体"/>
          <w:kern w:val="0"/>
          <w:sz w:val="28"/>
          <w:szCs w:val="28"/>
        </w:rPr>
        <w:t>选修模块安排表</w:t>
      </w:r>
    </w:p>
    <w:tbl>
      <w:tblPr>
        <w:tblStyle w:val="10"/>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noWrap/>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noWrap/>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noWrap/>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noWrap/>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noWrap/>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noWrap/>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noWrap/>
            <w:vAlign w:val="center"/>
          </w:tcPr>
          <w:p>
            <w:pPr>
              <w:widowControl/>
              <w:jc w:val="center"/>
              <w:rPr>
                <w:rFonts w:ascii="仿宋" w:hAnsi="仿宋" w:eastAsia="仿宋" w:cs="仿宋"/>
                <w:kern w:val="0"/>
                <w:sz w:val="20"/>
              </w:rPr>
            </w:pPr>
          </w:p>
        </w:tc>
        <w:tc>
          <w:tcPr>
            <w:tcW w:w="651" w:type="dxa"/>
            <w:tcBorders>
              <w:top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noWrap/>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党史国史</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noWrap/>
            <w:vAlign w:val="center"/>
          </w:tcPr>
          <w:p>
            <w:pPr>
              <w:widowControl/>
              <w:jc w:val="center"/>
              <w:rPr>
                <w:rFonts w:ascii="仿宋" w:hAnsi="仿宋" w:eastAsia="仿宋" w:cs="仿宋"/>
                <w:kern w:val="0"/>
                <w:sz w:val="20"/>
              </w:rPr>
            </w:pPr>
          </w:p>
        </w:tc>
        <w:tc>
          <w:tcPr>
            <w:tcW w:w="1276" w:type="dxa"/>
            <w:shd w:val="clear" w:color="auto" w:fill="auto"/>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应用文写作</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演讲与口才</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礼仪</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全国计算机二级MS Office</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书法</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音乐鉴赏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美术鉴赏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影视鉴赏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形体训练与舞蹈欣赏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蒙古原生态音乐欣赏与实践</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音乐通识讲座</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编织艺术DIY</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流行歌曲欣赏与演唱</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小提琴音乐欣赏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钢琴音乐欣赏</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古筝</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实用手绘海报</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创意染织</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陶艺</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民族饰品设计与制作</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茶艺</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插花技艺</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宠物美容</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照片后期处理</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创意手工</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钢笔画</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体育选项（足球）限选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体育选项（篮球）限选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体育选项（排球）限选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体育选项（健美操）限选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体育选项（乒乓球）限选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体育选项（羽毛球）限选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体育选项（毽球）限选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体育选项（太极拳）限选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体育选项（博克）限选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体育选项（射箭）限选</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noWrap/>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饮食与营养</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动画英语</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英语日常口语</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幼儿英语语感启蒙手指操</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英语（3级考试）</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英文电影赏析</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大学语文</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蒙古文化史</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noWrap/>
            <w:vAlign w:val="center"/>
          </w:tcPr>
          <w:p>
            <w:pPr>
              <w:widowControl/>
              <w:jc w:val="center"/>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网络在线课程</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大学美育</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tcBorders>
              <w:right w:val="single" w:color="000000"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法律大讲堂</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英语（4级考试）</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日语</w:t>
            </w:r>
          </w:p>
        </w:tc>
        <w:tc>
          <w:tcPr>
            <w:tcW w:w="675"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围棋</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少儿版画</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美的必修课</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学礼以立大国范</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马场马术（公选）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体育选项（网球）限选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体育选项（田径/跑跳）</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体育选项（田径/投掷）</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体育选项（拳击）限选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四史</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皮雕皮画制作</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硬笔书法</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平地骑乘（公选）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马文化传播（公选）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体育选项（国际象棋）限选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体育选项（瑜伽）限选</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国学品鉴</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3D打印</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网络直播运营</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话剧赏析与表演</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上大学，不迷茫</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网络安全法</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改革开放与新时代</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职场高级写作</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行为生活方式与健康</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关爱生命——急救与自救技能</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中华国学</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中国传统文化</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组织行为与领导力</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走进管理</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美学与人生</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大学计算机——计算思维与网络素养</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名企风采</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生活与会计</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职业沟通技能</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创新创业仿真综合实训</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园林艺术赏析</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noWrap/>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noWrap/>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noWrap/>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大学生安全教育</w:t>
            </w:r>
          </w:p>
        </w:tc>
        <w:tc>
          <w:tcPr>
            <w:tcW w:w="675"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607"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noWrap/>
            <w:vAlign w:val="center"/>
          </w:tcPr>
          <w:p>
            <w:pPr>
              <w:widowControl/>
              <w:jc w:val="center"/>
              <w:rPr>
                <w:rFonts w:ascii="仿宋" w:hAnsi="仿宋" w:eastAsia="仿宋" w:cs="仿宋"/>
                <w:kern w:val="0"/>
                <w:sz w:val="18"/>
                <w:szCs w:val="18"/>
              </w:rPr>
            </w:pPr>
          </w:p>
        </w:tc>
        <w:tc>
          <w:tcPr>
            <w:tcW w:w="904" w:type="dxa"/>
            <w:tcBorders>
              <w:bottom w:val="single" w:color="auto" w:sz="8"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vAlign w:val="center"/>
          </w:tcPr>
          <w:p>
            <w:pPr>
              <w:widowControl/>
              <w:textAlignment w:val="center"/>
              <w:rPr>
                <w:rFonts w:ascii="仿宋" w:hAnsi="仿宋" w:eastAsia="仿宋" w:cs="仿宋"/>
                <w:kern w:val="0"/>
                <w:sz w:val="18"/>
                <w:szCs w:val="18"/>
              </w:rPr>
            </w:pPr>
          </w:p>
        </w:tc>
        <w:tc>
          <w:tcPr>
            <w:tcW w:w="3259" w:type="dxa"/>
            <w:noWrap/>
            <w:vAlign w:val="center"/>
          </w:tcPr>
          <w:p>
            <w:pPr>
              <w:widowControl/>
              <w:jc w:val="center"/>
              <w:rPr>
                <w:rFonts w:ascii="仿宋" w:hAnsi="仿宋" w:eastAsia="仿宋" w:cs="仿宋"/>
                <w:kern w:val="0"/>
                <w:sz w:val="18"/>
                <w:szCs w:val="18"/>
              </w:rPr>
            </w:pPr>
          </w:p>
        </w:tc>
        <w:tc>
          <w:tcPr>
            <w:tcW w:w="675" w:type="dxa"/>
            <w:noWrap/>
            <w:vAlign w:val="center"/>
          </w:tcPr>
          <w:p>
            <w:pPr>
              <w:widowControl/>
              <w:jc w:val="center"/>
              <w:rPr>
                <w:rFonts w:ascii="仿宋" w:hAnsi="仿宋" w:eastAsia="仿宋" w:cs="仿宋"/>
                <w:kern w:val="0"/>
                <w:sz w:val="18"/>
                <w:szCs w:val="18"/>
              </w:rPr>
            </w:pPr>
          </w:p>
        </w:tc>
        <w:tc>
          <w:tcPr>
            <w:tcW w:w="639" w:type="dxa"/>
            <w:noWrap/>
            <w:vAlign w:val="center"/>
          </w:tcPr>
          <w:p>
            <w:pPr>
              <w:widowControl/>
              <w:jc w:val="center"/>
              <w:rPr>
                <w:rFonts w:ascii="仿宋" w:hAnsi="仿宋" w:eastAsia="仿宋" w:cs="仿宋"/>
                <w:kern w:val="0"/>
                <w:sz w:val="18"/>
                <w:szCs w:val="18"/>
              </w:rPr>
            </w:pPr>
          </w:p>
        </w:tc>
        <w:tc>
          <w:tcPr>
            <w:tcW w:w="651" w:type="dxa"/>
            <w:noWrap/>
            <w:vAlign w:val="center"/>
          </w:tcPr>
          <w:p>
            <w:pPr>
              <w:widowControl/>
              <w:jc w:val="center"/>
              <w:rPr>
                <w:rFonts w:ascii="仿宋" w:hAnsi="仿宋" w:eastAsia="仿宋" w:cs="仿宋"/>
                <w:kern w:val="0"/>
                <w:sz w:val="18"/>
                <w:szCs w:val="18"/>
              </w:rPr>
            </w:pPr>
          </w:p>
        </w:tc>
        <w:tc>
          <w:tcPr>
            <w:tcW w:w="607" w:type="dxa"/>
            <w:noWrap/>
            <w:vAlign w:val="center"/>
          </w:tcPr>
          <w:p>
            <w:pPr>
              <w:widowControl/>
              <w:jc w:val="center"/>
              <w:rPr>
                <w:rFonts w:ascii="仿宋" w:hAnsi="仿宋" w:eastAsia="仿宋" w:cs="仿宋"/>
                <w:kern w:val="0"/>
                <w:sz w:val="18"/>
                <w:szCs w:val="18"/>
              </w:rPr>
            </w:pPr>
          </w:p>
        </w:tc>
        <w:tc>
          <w:tcPr>
            <w:tcW w:w="567" w:type="dxa"/>
            <w:noWrap/>
            <w:vAlign w:val="center"/>
          </w:tcPr>
          <w:p>
            <w:pPr>
              <w:widowControl/>
              <w:jc w:val="center"/>
              <w:rPr>
                <w:rFonts w:ascii="仿宋" w:hAnsi="仿宋" w:eastAsia="仿宋" w:cs="仿宋"/>
                <w:kern w:val="0"/>
                <w:sz w:val="18"/>
                <w:szCs w:val="18"/>
              </w:rPr>
            </w:pPr>
          </w:p>
        </w:tc>
        <w:tc>
          <w:tcPr>
            <w:tcW w:w="904" w:type="dxa"/>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tcPr>
          <w:p>
            <w:pPr>
              <w:widowControl/>
              <w:textAlignment w:val="center"/>
              <w:rPr>
                <w:rFonts w:ascii="仿宋" w:hAnsi="仿宋" w:eastAsia="仿宋" w:cs="仿宋"/>
                <w:kern w:val="0"/>
                <w:sz w:val="18"/>
                <w:szCs w:val="18"/>
              </w:rPr>
            </w:pPr>
          </w:p>
        </w:tc>
        <w:tc>
          <w:tcPr>
            <w:tcW w:w="3259" w:type="dxa"/>
            <w:noWrap/>
          </w:tcPr>
          <w:p>
            <w:pPr>
              <w:widowControl/>
              <w:textAlignment w:val="center"/>
              <w:rPr>
                <w:rFonts w:ascii="仿宋" w:hAnsi="仿宋" w:eastAsia="仿宋" w:cs="仿宋"/>
                <w:kern w:val="0"/>
                <w:sz w:val="18"/>
                <w:szCs w:val="18"/>
              </w:rPr>
            </w:pPr>
          </w:p>
        </w:tc>
        <w:tc>
          <w:tcPr>
            <w:tcW w:w="675" w:type="dxa"/>
            <w:noWrap/>
          </w:tcPr>
          <w:p>
            <w:pPr>
              <w:widowControl/>
              <w:textAlignment w:val="center"/>
              <w:rPr>
                <w:rFonts w:ascii="仿宋" w:hAnsi="仿宋" w:eastAsia="仿宋" w:cs="仿宋"/>
                <w:kern w:val="0"/>
                <w:sz w:val="18"/>
                <w:szCs w:val="18"/>
              </w:rPr>
            </w:pPr>
          </w:p>
        </w:tc>
        <w:tc>
          <w:tcPr>
            <w:tcW w:w="639" w:type="dxa"/>
            <w:noWrap/>
          </w:tcPr>
          <w:p>
            <w:pPr>
              <w:widowControl/>
              <w:jc w:val="center"/>
              <w:rPr>
                <w:rFonts w:ascii="仿宋" w:hAnsi="仿宋" w:eastAsia="仿宋" w:cs="仿宋"/>
                <w:kern w:val="0"/>
                <w:sz w:val="18"/>
                <w:szCs w:val="18"/>
              </w:rPr>
            </w:pPr>
          </w:p>
        </w:tc>
        <w:tc>
          <w:tcPr>
            <w:tcW w:w="651" w:type="dxa"/>
            <w:noWrap/>
          </w:tcPr>
          <w:p>
            <w:pPr>
              <w:widowControl/>
              <w:jc w:val="center"/>
              <w:rPr>
                <w:rFonts w:ascii="仿宋" w:hAnsi="仿宋" w:eastAsia="仿宋" w:cs="仿宋"/>
                <w:kern w:val="0"/>
                <w:sz w:val="18"/>
                <w:szCs w:val="18"/>
              </w:rPr>
            </w:pPr>
          </w:p>
        </w:tc>
        <w:tc>
          <w:tcPr>
            <w:tcW w:w="607" w:type="dxa"/>
            <w:noWrap/>
          </w:tcPr>
          <w:p>
            <w:pPr>
              <w:widowControl/>
              <w:jc w:val="center"/>
              <w:rPr>
                <w:rFonts w:ascii="仿宋" w:hAnsi="仿宋" w:eastAsia="仿宋" w:cs="仿宋"/>
                <w:kern w:val="0"/>
                <w:sz w:val="18"/>
                <w:szCs w:val="18"/>
              </w:rPr>
            </w:pPr>
          </w:p>
        </w:tc>
        <w:tc>
          <w:tcPr>
            <w:tcW w:w="567" w:type="dxa"/>
            <w:noWrap/>
          </w:tcPr>
          <w:p>
            <w:pPr>
              <w:widowControl/>
              <w:jc w:val="center"/>
              <w:rPr>
                <w:rFonts w:ascii="仿宋" w:hAnsi="仿宋" w:eastAsia="仿宋" w:cs="仿宋"/>
                <w:kern w:val="0"/>
                <w:sz w:val="18"/>
                <w:szCs w:val="18"/>
              </w:rPr>
            </w:pPr>
          </w:p>
        </w:tc>
        <w:tc>
          <w:tcPr>
            <w:tcW w:w="904" w:type="dxa"/>
            <w:noWrap/>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pPr>
              <w:widowControl/>
              <w:rPr>
                <w:rFonts w:ascii="仿宋" w:hAnsi="仿宋" w:eastAsia="仿宋" w:cs="仿宋"/>
                <w:kern w:val="0"/>
                <w:sz w:val="20"/>
              </w:rPr>
            </w:pPr>
          </w:p>
        </w:tc>
        <w:tc>
          <w:tcPr>
            <w:tcW w:w="1276" w:type="dxa"/>
            <w:noWrap/>
          </w:tcPr>
          <w:p>
            <w:pPr>
              <w:widowControl/>
              <w:textAlignment w:val="center"/>
              <w:rPr>
                <w:rFonts w:ascii="仿宋" w:hAnsi="仿宋" w:eastAsia="仿宋" w:cs="仿宋"/>
                <w:kern w:val="0"/>
                <w:sz w:val="18"/>
                <w:szCs w:val="18"/>
              </w:rPr>
            </w:pPr>
          </w:p>
        </w:tc>
        <w:tc>
          <w:tcPr>
            <w:tcW w:w="3259" w:type="dxa"/>
            <w:noWrap/>
          </w:tcPr>
          <w:p>
            <w:pPr>
              <w:widowControl/>
              <w:textAlignment w:val="center"/>
              <w:rPr>
                <w:rFonts w:ascii="仿宋" w:hAnsi="仿宋" w:eastAsia="仿宋" w:cs="仿宋"/>
                <w:kern w:val="0"/>
                <w:sz w:val="18"/>
                <w:szCs w:val="18"/>
              </w:rPr>
            </w:pPr>
          </w:p>
        </w:tc>
        <w:tc>
          <w:tcPr>
            <w:tcW w:w="675" w:type="dxa"/>
            <w:noWrap/>
          </w:tcPr>
          <w:p>
            <w:pPr>
              <w:widowControl/>
              <w:textAlignment w:val="center"/>
              <w:rPr>
                <w:rFonts w:ascii="仿宋" w:hAnsi="仿宋" w:eastAsia="仿宋" w:cs="仿宋"/>
                <w:kern w:val="0"/>
                <w:sz w:val="18"/>
                <w:szCs w:val="18"/>
              </w:rPr>
            </w:pPr>
          </w:p>
        </w:tc>
        <w:tc>
          <w:tcPr>
            <w:tcW w:w="639" w:type="dxa"/>
            <w:noWrap/>
          </w:tcPr>
          <w:p>
            <w:pPr>
              <w:widowControl/>
              <w:jc w:val="center"/>
              <w:rPr>
                <w:rFonts w:ascii="仿宋" w:hAnsi="仿宋" w:eastAsia="仿宋" w:cs="仿宋"/>
                <w:kern w:val="0"/>
                <w:sz w:val="18"/>
                <w:szCs w:val="18"/>
              </w:rPr>
            </w:pPr>
          </w:p>
        </w:tc>
        <w:tc>
          <w:tcPr>
            <w:tcW w:w="651" w:type="dxa"/>
            <w:noWrap/>
          </w:tcPr>
          <w:p>
            <w:pPr>
              <w:widowControl/>
              <w:jc w:val="center"/>
              <w:rPr>
                <w:rFonts w:ascii="仿宋" w:hAnsi="仿宋" w:eastAsia="仿宋" w:cs="仿宋"/>
                <w:kern w:val="0"/>
                <w:sz w:val="18"/>
                <w:szCs w:val="18"/>
              </w:rPr>
            </w:pPr>
          </w:p>
        </w:tc>
        <w:tc>
          <w:tcPr>
            <w:tcW w:w="607" w:type="dxa"/>
            <w:noWrap/>
          </w:tcPr>
          <w:p>
            <w:pPr>
              <w:widowControl/>
              <w:jc w:val="center"/>
              <w:rPr>
                <w:rFonts w:ascii="仿宋" w:hAnsi="仿宋" w:eastAsia="仿宋" w:cs="仿宋"/>
                <w:kern w:val="0"/>
                <w:sz w:val="18"/>
                <w:szCs w:val="18"/>
              </w:rPr>
            </w:pPr>
          </w:p>
        </w:tc>
        <w:tc>
          <w:tcPr>
            <w:tcW w:w="567" w:type="dxa"/>
            <w:noWrap/>
          </w:tcPr>
          <w:p>
            <w:pPr>
              <w:widowControl/>
              <w:jc w:val="center"/>
              <w:rPr>
                <w:rFonts w:ascii="仿宋" w:hAnsi="仿宋" w:eastAsia="仿宋" w:cs="仿宋"/>
                <w:kern w:val="0"/>
                <w:sz w:val="18"/>
                <w:szCs w:val="18"/>
              </w:rPr>
            </w:pPr>
          </w:p>
        </w:tc>
        <w:tc>
          <w:tcPr>
            <w:tcW w:w="904" w:type="dxa"/>
            <w:noWrap/>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noWrap/>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noWrap/>
            <w:vAlign w:val="center"/>
          </w:tcPr>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noWrap/>
            <w:vAlign w:val="center"/>
          </w:tcPr>
          <w:p>
            <w:pPr>
              <w:widowControl/>
              <w:jc w:val="center"/>
              <w:rPr>
                <w:rFonts w:ascii="仿宋" w:hAnsi="仿宋" w:eastAsia="仿宋" w:cs="仿宋"/>
                <w:kern w:val="0"/>
                <w:sz w:val="20"/>
              </w:rPr>
            </w:pPr>
          </w:p>
        </w:tc>
        <w:tc>
          <w:tcPr>
            <w:tcW w:w="4535" w:type="dxa"/>
            <w:gridSpan w:val="2"/>
            <w:shd w:val="clear" w:color="auto" w:fill="FFFFFF"/>
            <w:noWrap/>
            <w:vAlign w:val="center"/>
          </w:tcPr>
          <w:p>
            <w:pPr>
              <w:widowControl/>
              <w:jc w:val="center"/>
              <w:rPr>
                <w:rFonts w:ascii="仿宋" w:hAnsi="仿宋" w:eastAsia="仿宋" w:cs="仿宋"/>
                <w:kern w:val="0"/>
                <w:sz w:val="18"/>
                <w:szCs w:val="18"/>
              </w:rPr>
            </w:pPr>
          </w:p>
        </w:tc>
        <w:tc>
          <w:tcPr>
            <w:tcW w:w="675" w:type="dxa"/>
            <w:shd w:val="clear" w:color="auto" w:fill="FFFFFF"/>
            <w:noWrap/>
            <w:vAlign w:val="center"/>
          </w:tcPr>
          <w:p>
            <w:pPr>
              <w:widowControl/>
              <w:jc w:val="center"/>
              <w:rPr>
                <w:rFonts w:ascii="仿宋" w:hAnsi="仿宋" w:eastAsia="仿宋" w:cs="仿宋"/>
                <w:kern w:val="0"/>
                <w:sz w:val="18"/>
                <w:szCs w:val="18"/>
              </w:rPr>
            </w:pPr>
          </w:p>
        </w:tc>
        <w:tc>
          <w:tcPr>
            <w:tcW w:w="639" w:type="dxa"/>
            <w:shd w:val="clear" w:color="auto" w:fill="FFFFFF"/>
            <w:noWrap/>
            <w:vAlign w:val="center"/>
          </w:tcPr>
          <w:p>
            <w:pPr>
              <w:widowControl/>
              <w:jc w:val="center"/>
              <w:rPr>
                <w:rFonts w:ascii="仿宋" w:hAnsi="仿宋" w:eastAsia="仿宋" w:cs="仿宋"/>
                <w:kern w:val="0"/>
                <w:sz w:val="18"/>
                <w:szCs w:val="18"/>
              </w:rPr>
            </w:pPr>
          </w:p>
        </w:tc>
        <w:tc>
          <w:tcPr>
            <w:tcW w:w="651" w:type="dxa"/>
            <w:shd w:val="clear" w:color="auto" w:fill="FFFFFF"/>
            <w:noWrap/>
            <w:vAlign w:val="center"/>
          </w:tcPr>
          <w:p>
            <w:pPr>
              <w:widowControl/>
              <w:jc w:val="center"/>
              <w:rPr>
                <w:rFonts w:ascii="仿宋" w:hAnsi="仿宋" w:eastAsia="仿宋" w:cs="仿宋"/>
                <w:kern w:val="0"/>
                <w:sz w:val="18"/>
                <w:szCs w:val="18"/>
              </w:rPr>
            </w:pPr>
          </w:p>
        </w:tc>
        <w:tc>
          <w:tcPr>
            <w:tcW w:w="607" w:type="dxa"/>
            <w:shd w:val="clear" w:color="auto" w:fill="FFFFFF"/>
            <w:noWrap/>
            <w:vAlign w:val="center"/>
          </w:tcPr>
          <w:p>
            <w:pPr>
              <w:widowControl/>
              <w:jc w:val="center"/>
              <w:rPr>
                <w:rFonts w:ascii="仿宋" w:hAnsi="仿宋" w:eastAsia="仿宋" w:cs="仿宋"/>
                <w:kern w:val="0"/>
                <w:sz w:val="18"/>
                <w:szCs w:val="18"/>
              </w:rPr>
            </w:pPr>
          </w:p>
        </w:tc>
        <w:tc>
          <w:tcPr>
            <w:tcW w:w="567" w:type="dxa"/>
            <w:shd w:val="clear" w:color="auto" w:fill="FFFFFF"/>
            <w:noWrap/>
            <w:vAlign w:val="center"/>
          </w:tcPr>
          <w:p>
            <w:pPr>
              <w:widowControl/>
              <w:jc w:val="center"/>
              <w:rPr>
                <w:rFonts w:ascii="仿宋" w:hAnsi="仿宋" w:eastAsia="仿宋" w:cs="仿宋"/>
                <w:kern w:val="0"/>
                <w:sz w:val="18"/>
                <w:szCs w:val="18"/>
              </w:rPr>
            </w:pPr>
          </w:p>
        </w:tc>
        <w:tc>
          <w:tcPr>
            <w:tcW w:w="904" w:type="dxa"/>
            <w:shd w:val="clear" w:color="auto" w:fill="FFFFFF"/>
            <w:noWrap/>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noWrap/>
            <w:vAlign w:val="center"/>
          </w:tcPr>
          <w:p>
            <w:r>
              <w:rPr>
                <w:rFonts w:hint="eastAsia" w:ascii="仿宋" w:hAnsi="仿宋" w:eastAsia="仿宋" w:cs="仿宋"/>
                <w:kern w:val="0"/>
                <w:sz w:val="20"/>
              </w:rPr>
              <w:t>技能考证考级</w:t>
            </w:r>
          </w:p>
        </w:tc>
        <w:tc>
          <w:tcPr>
            <w:tcW w:w="4535" w:type="dxa"/>
            <w:gridSpan w:val="2"/>
            <w:noWrap/>
            <w:vAlign w:val="center"/>
          </w:tcPr>
          <w:p>
            <w:pPr>
              <w:widowControl/>
              <w:jc w:val="center"/>
            </w:pPr>
            <w:r>
              <w:rPr>
                <w:rFonts w:hint="eastAsia" w:ascii="仿宋" w:hAnsi="仿宋" w:eastAsia="仿宋" w:cs="仿宋"/>
                <w:kern w:val="0"/>
                <w:sz w:val="18"/>
                <w:szCs w:val="18"/>
              </w:rPr>
              <w:t>计算机等级考试一级</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pPr>
            <w:r>
              <w:rPr>
                <w:rFonts w:hint="eastAsia" w:ascii="仿宋" w:hAnsi="仿宋" w:eastAsia="仿宋" w:cs="仿宋"/>
                <w:kern w:val="0"/>
                <w:sz w:val="18"/>
                <w:szCs w:val="18"/>
              </w:rPr>
              <w:t>计算机等级考试二级</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pPr>
            <w:r>
              <w:rPr>
                <w:rFonts w:hint="eastAsia" w:ascii="仿宋" w:hAnsi="仿宋" w:eastAsia="仿宋" w:cs="仿宋"/>
                <w:kern w:val="0"/>
                <w:sz w:val="18"/>
                <w:szCs w:val="18"/>
              </w:rPr>
              <w:t>自治区高职英语应用能力考试</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pPr>
            <w:r>
              <w:rPr>
                <w:rFonts w:hint="eastAsia" w:ascii="仿宋" w:hAnsi="仿宋" w:eastAsia="仿宋" w:cs="仿宋"/>
                <w:kern w:val="0"/>
                <w:sz w:val="18"/>
                <w:szCs w:val="18"/>
              </w:rPr>
              <w:t>全国英语四级证书</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pPr>
            <w:r>
              <w:rPr>
                <w:rFonts w:hint="eastAsia" w:ascii="仿宋" w:hAnsi="仿宋" w:eastAsia="仿宋" w:cs="仿宋"/>
                <w:kern w:val="0"/>
                <w:sz w:val="18"/>
                <w:szCs w:val="18"/>
              </w:rPr>
              <w:t>全国英语六级证书</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noWrap/>
            <w:vAlign w:val="center"/>
          </w:tcPr>
          <w:p/>
        </w:tc>
        <w:tc>
          <w:tcPr>
            <w:tcW w:w="4535" w:type="dxa"/>
            <w:gridSpan w:val="2"/>
            <w:noWrap/>
            <w:vAlign w:val="center"/>
          </w:tcPr>
          <w:p>
            <w:pPr>
              <w:widowControl/>
              <w:jc w:val="center"/>
            </w:pPr>
            <w:r>
              <w:rPr>
                <w:rFonts w:hint="eastAsia" w:ascii="仿宋" w:hAnsi="仿宋" w:eastAsia="仿宋" w:cs="仿宋"/>
                <w:kern w:val="0"/>
                <w:sz w:val="18"/>
                <w:szCs w:val="18"/>
              </w:rPr>
              <w:t>其他职业技能证书</w:t>
            </w:r>
          </w:p>
        </w:tc>
        <w:tc>
          <w:tcPr>
            <w:tcW w:w="675" w:type="dxa"/>
            <w:noWrap/>
            <w:vAlign w:val="center"/>
          </w:tcPr>
          <w:p>
            <w:pPr>
              <w:widowControl/>
              <w:jc w:val="center"/>
            </w:pPr>
          </w:p>
        </w:tc>
        <w:tc>
          <w:tcPr>
            <w:tcW w:w="639" w:type="dxa"/>
            <w:noWrap/>
            <w:vAlign w:val="center"/>
          </w:tcPr>
          <w:p>
            <w:pPr>
              <w:widowControl/>
              <w:jc w:val="center"/>
            </w:pPr>
          </w:p>
        </w:tc>
        <w:tc>
          <w:tcPr>
            <w:tcW w:w="651" w:type="dxa"/>
            <w:noWrap/>
            <w:vAlign w:val="center"/>
          </w:tcPr>
          <w:p>
            <w:pPr>
              <w:widowControl/>
              <w:jc w:val="center"/>
            </w:pPr>
          </w:p>
        </w:tc>
        <w:tc>
          <w:tcPr>
            <w:tcW w:w="607" w:type="dxa"/>
            <w:noWrap/>
            <w:vAlign w:val="center"/>
          </w:tcPr>
          <w:p>
            <w:pPr>
              <w:widowControl/>
              <w:jc w:val="center"/>
            </w:pPr>
          </w:p>
        </w:tc>
        <w:tc>
          <w:tcPr>
            <w:tcW w:w="567" w:type="dxa"/>
            <w:noWrap/>
            <w:vAlign w:val="center"/>
          </w:tcPr>
          <w:p>
            <w:pPr>
              <w:widowControl/>
              <w:jc w:val="center"/>
            </w:pPr>
          </w:p>
        </w:tc>
        <w:tc>
          <w:tcPr>
            <w:tcW w:w="904" w:type="dxa"/>
            <w:noWrap/>
            <w:vAlign w:val="center"/>
          </w:tcPr>
          <w:p>
            <w:pPr>
              <w:widowControl/>
              <w:jc w:val="center"/>
            </w:pPr>
          </w:p>
        </w:tc>
      </w:tr>
    </w:tbl>
    <w:p>
      <w:pPr>
        <w:rPr>
          <w:rFonts w:ascii="黑体" w:hAnsi="宋体" w:eastAsia="黑体" w:cs="黑体"/>
          <w:kern w:val="0"/>
          <w:sz w:val="28"/>
          <w:szCs w:val="28"/>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rPr>
      </w:pPr>
    </w:p>
    <w:tbl>
      <w:tblPr>
        <w:tblStyle w:val="10"/>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noWrap/>
            <w:vAlign w:val="center"/>
          </w:tcPr>
          <w:p>
            <w:pPr>
              <w:widowControl/>
              <w:spacing w:line="500" w:lineRule="exact"/>
              <w:jc w:val="left"/>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2019级  旅游管理专业教学环节分配表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13W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5W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4W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10W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53W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17W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32W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noWrap/>
            <w:vAlign w:val="center"/>
          </w:tcPr>
          <w:p>
            <w:pPr>
              <w:widowControl/>
              <w:spacing w:line="500" w:lineRule="exact"/>
              <w:ind w:right="124"/>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noWrap/>
            <w:vAlign w:val="center"/>
          </w:tcPr>
          <w:p>
            <w:pPr>
              <w:ind w:right="124" w:firstLine="202" w:firstLineChars="100"/>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24</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FB1655"/>
    <w:multiLevelType w:val="singleLevel"/>
    <w:tmpl w:val="9DFB1655"/>
    <w:lvl w:ilvl="0" w:tentative="0">
      <w:start w:val="1"/>
      <w:numFmt w:val="decimal"/>
      <w:suff w:val="nothing"/>
      <w:lvlText w:val="%1、"/>
      <w:lvlJc w:val="left"/>
    </w:lvl>
  </w:abstractNum>
  <w:abstractNum w:abstractNumId="1">
    <w:nsid w:val="DEEE3F94"/>
    <w:multiLevelType w:val="singleLevel"/>
    <w:tmpl w:val="DEEE3F94"/>
    <w:lvl w:ilvl="0" w:tentative="0">
      <w:start w:val="10"/>
      <w:numFmt w:val="decimal"/>
      <w:suff w:val="space"/>
      <w:lvlText w:val="%1."/>
      <w:lvlJc w:val="left"/>
    </w:lvl>
  </w:abstractNum>
  <w:abstractNum w:abstractNumId="2">
    <w:nsid w:val="E266148F"/>
    <w:multiLevelType w:val="singleLevel"/>
    <w:tmpl w:val="E266148F"/>
    <w:lvl w:ilvl="0" w:tentative="0">
      <w:start w:val="1"/>
      <w:numFmt w:val="decimal"/>
      <w:suff w:val="nothing"/>
      <w:lvlText w:val="%1、"/>
      <w:lvlJc w:val="left"/>
    </w:lvl>
  </w:abstractNum>
  <w:abstractNum w:abstractNumId="3">
    <w:nsid w:val="1D89C044"/>
    <w:multiLevelType w:val="singleLevel"/>
    <w:tmpl w:val="1D89C044"/>
    <w:lvl w:ilvl="0" w:tentative="0">
      <w:start w:val="1"/>
      <w:numFmt w:val="decimal"/>
      <w:lvlText w:val="%1."/>
      <w:lvlJc w:val="left"/>
      <w:pPr>
        <w:tabs>
          <w:tab w:val="left" w:pos="312"/>
        </w:tabs>
      </w:pPr>
    </w:lvl>
  </w:abstractNum>
  <w:abstractNum w:abstractNumId="4">
    <w:nsid w:val="42CAB7C2"/>
    <w:multiLevelType w:val="singleLevel"/>
    <w:tmpl w:val="42CAB7C2"/>
    <w:lvl w:ilvl="0" w:tentative="0">
      <w:start w:val="1"/>
      <w:numFmt w:val="decimal"/>
      <w:suff w:val="space"/>
      <w:lvlText w:val="%1."/>
      <w:lvlJc w:val="left"/>
    </w:lvl>
  </w:abstractNum>
  <w:abstractNum w:abstractNumId="5">
    <w:nsid w:val="57688CBF"/>
    <w:multiLevelType w:val="singleLevel"/>
    <w:tmpl w:val="57688CBF"/>
    <w:lvl w:ilvl="0" w:tentative="0">
      <w:start w:val="1"/>
      <w:numFmt w:val="decimal"/>
      <w:suff w:val="nothing"/>
      <w:lvlText w:val="（%1）"/>
      <w:lvlJc w:val="left"/>
    </w:lvl>
  </w:abstractNum>
  <w:abstractNum w:abstractNumId="6">
    <w:nsid w:val="7276F476"/>
    <w:multiLevelType w:val="singleLevel"/>
    <w:tmpl w:val="7276F476"/>
    <w:lvl w:ilvl="0" w:tentative="0">
      <w:start w:val="1"/>
      <w:numFmt w:val="decimal"/>
      <w:suff w:val="nothing"/>
      <w:lvlText w:val="%1、"/>
      <w:lvlJc w:val="left"/>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33D99"/>
    <w:rsid w:val="000D6A38"/>
    <w:rsid w:val="00135C08"/>
    <w:rsid w:val="001B44BB"/>
    <w:rsid w:val="00525B09"/>
    <w:rsid w:val="0053458D"/>
    <w:rsid w:val="00547101"/>
    <w:rsid w:val="006664DB"/>
    <w:rsid w:val="00670DC4"/>
    <w:rsid w:val="006A07E3"/>
    <w:rsid w:val="00751791"/>
    <w:rsid w:val="008C4C8D"/>
    <w:rsid w:val="009F4BDC"/>
    <w:rsid w:val="00A33D99"/>
    <w:rsid w:val="00A422ED"/>
    <w:rsid w:val="00CE2AEC"/>
    <w:rsid w:val="00D22F76"/>
    <w:rsid w:val="00DE6E64"/>
    <w:rsid w:val="00E77DBC"/>
    <w:rsid w:val="00F01835"/>
    <w:rsid w:val="00F03710"/>
    <w:rsid w:val="00F4570E"/>
    <w:rsid w:val="00FB6236"/>
    <w:rsid w:val="4D9F6760"/>
    <w:rsid w:val="6998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autoSpaceDE w:val="0"/>
      <w:autoSpaceDN w:val="0"/>
      <w:snapToGrid w:val="0"/>
      <w:spacing w:beforeLines="200" w:afterLines="100" w:line="480" w:lineRule="exact"/>
      <w:jc w:val="center"/>
      <w:textAlignment w:val="baseline"/>
      <w:outlineLvl w:val="0"/>
    </w:pPr>
    <w:rPr>
      <w:rFonts w:ascii="Calibri" w:hAnsi="华文中宋" w:eastAsia="华文中宋" w:cs="宋体"/>
      <w:b/>
      <w:color w:val="000000"/>
      <w:kern w:val="0"/>
      <w:sz w:val="36"/>
      <w:szCs w:val="36"/>
    </w:rPr>
  </w:style>
  <w:style w:type="paragraph" w:styleId="3">
    <w:name w:val="heading 2"/>
    <w:basedOn w:val="1"/>
    <w:next w:val="4"/>
    <w:link w:val="15"/>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cs="宋体"/>
      <w:b/>
      <w:bCs/>
      <w:color w:val="FF0000"/>
      <w:sz w:val="28"/>
      <w:szCs w:val="28"/>
    </w:rPr>
  </w:style>
  <w:style w:type="paragraph" w:styleId="4">
    <w:name w:val="heading 3"/>
    <w:basedOn w:val="1"/>
    <w:next w:val="1"/>
    <w:link w:val="16"/>
    <w:qFormat/>
    <w:uiPriority w:val="0"/>
    <w:pPr>
      <w:keepNext/>
      <w:keepLines/>
      <w:spacing w:line="415" w:lineRule="auto"/>
      <w:outlineLvl w:val="2"/>
    </w:pPr>
    <w:rPr>
      <w:rFonts w:ascii="Calibri" w:hAnsi="Calibri" w:eastAsia="宋体" w:cs="宋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宋体"/>
      <w:szCs w:val="20"/>
    </w:rPr>
  </w:style>
  <w:style w:type="paragraph" w:styleId="6">
    <w:name w:val="Body Text"/>
    <w:basedOn w:val="1"/>
    <w:link w:val="17"/>
    <w:qFormat/>
    <w:uiPriority w:val="0"/>
    <w:pPr>
      <w:framePr w:hSpace="180" w:wrap="around" w:vAnchor="text" w:hAnchor="margin" w:y="633"/>
    </w:pPr>
    <w:rPr>
      <w:rFonts w:ascii="宋体" w:hAnsi="宋体" w:eastAsia="宋体" w:cs="宋体"/>
      <w:kern w:val="0"/>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customStyle="1" w:styleId="12">
    <w:name w:val="页眉 字符"/>
    <w:basedOn w:val="11"/>
    <w:link w:val="8"/>
    <w:semiHidden/>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1 字符"/>
    <w:basedOn w:val="11"/>
    <w:link w:val="2"/>
    <w:qFormat/>
    <w:uiPriority w:val="0"/>
    <w:rPr>
      <w:rFonts w:ascii="Calibri" w:hAnsi="华文中宋" w:eastAsia="华文中宋" w:cs="宋体"/>
      <w:b/>
      <w:color w:val="000000"/>
      <w:kern w:val="0"/>
      <w:sz w:val="36"/>
      <w:szCs w:val="36"/>
    </w:rPr>
  </w:style>
  <w:style w:type="character" w:customStyle="1" w:styleId="15">
    <w:name w:val="标题 2 字符"/>
    <w:basedOn w:val="11"/>
    <w:link w:val="3"/>
    <w:qFormat/>
    <w:uiPriority w:val="0"/>
    <w:rPr>
      <w:rFonts w:ascii="仿宋_GB2312" w:hAnsi="华文中宋" w:eastAsia="仿宋_GB2312" w:cs="宋体"/>
      <w:b/>
      <w:bCs/>
      <w:color w:val="FF0000"/>
      <w:sz w:val="28"/>
      <w:szCs w:val="28"/>
    </w:rPr>
  </w:style>
  <w:style w:type="character" w:customStyle="1" w:styleId="16">
    <w:name w:val="标题 3 字符"/>
    <w:basedOn w:val="11"/>
    <w:link w:val="4"/>
    <w:qFormat/>
    <w:uiPriority w:val="0"/>
    <w:rPr>
      <w:rFonts w:ascii="Calibri" w:hAnsi="Calibri" w:eastAsia="宋体" w:cs="宋体"/>
      <w:b/>
      <w:bCs/>
      <w:sz w:val="32"/>
      <w:szCs w:val="32"/>
    </w:rPr>
  </w:style>
  <w:style w:type="character" w:customStyle="1" w:styleId="17">
    <w:name w:val="正文文本 字符"/>
    <w:basedOn w:val="11"/>
    <w:link w:val="6"/>
    <w:qFormat/>
    <w:uiPriority w:val="0"/>
    <w:rPr>
      <w:rFonts w:ascii="宋体" w:hAnsi="宋体" w:eastAsia="宋体" w:cs="宋体"/>
      <w:kern w:val="0"/>
      <w:szCs w:val="18"/>
    </w:rPr>
  </w:style>
  <w:style w:type="paragraph" w:customStyle="1" w:styleId="18">
    <w:name w:val="6括号数字标题"/>
    <w:basedOn w:val="1"/>
    <w:qFormat/>
    <w:uiPriority w:val="0"/>
    <w:pPr>
      <w:spacing w:line="360" w:lineRule="auto"/>
      <w:ind w:firstLine="200" w:firstLineChars="200"/>
    </w:pPr>
    <w:rPr>
      <w:rFonts w:ascii="仿宋_GB2312" w:hAnsi="宋体" w:eastAsia="仿宋_GB2312" w:cs="Times New Roman"/>
      <w:sz w:val="28"/>
      <w:szCs w:val="28"/>
    </w:rPr>
  </w:style>
  <w:style w:type="paragraph" w:customStyle="1" w:styleId="19">
    <w:name w:val="4括号汉字标题"/>
    <w:basedOn w:val="1"/>
    <w:qFormat/>
    <w:uiPriority w:val="0"/>
    <w:pPr>
      <w:spacing w:line="360" w:lineRule="auto"/>
      <w:ind w:firstLine="562" w:firstLineChars="200"/>
      <w:outlineLvl w:val="3"/>
    </w:pPr>
    <w:rPr>
      <w:rFonts w:ascii="仿宋_GB2312" w:hAnsi="Calibri" w:eastAsia="仿宋_GB2312" w:cs="宋体"/>
      <w:b/>
      <w:sz w:val="28"/>
      <w:szCs w:val="28"/>
    </w:rPr>
  </w:style>
  <w:style w:type="paragraph" w:customStyle="1" w:styleId="20">
    <w:name w:val="标题5"/>
    <w:basedOn w:val="1"/>
    <w:qFormat/>
    <w:uiPriority w:val="0"/>
    <w:pPr>
      <w:adjustRightInd w:val="0"/>
      <w:snapToGrid w:val="0"/>
      <w:spacing w:line="310" w:lineRule="atLeast"/>
      <w:ind w:firstLine="425"/>
    </w:pPr>
    <w:rPr>
      <w:rFonts w:ascii="Arial" w:hAnsi="Arial" w:eastAsia="黑体" w:cs="宋体"/>
      <w:szCs w:val="20"/>
    </w:rPr>
  </w:style>
  <w:style w:type="paragraph" w:customStyle="1" w:styleId="21">
    <w:name w:val="列出段落1"/>
    <w:basedOn w:val="1"/>
    <w:unhideWhenUsed/>
    <w:qFormat/>
    <w:uiPriority w:val="99"/>
    <w:pPr>
      <w:ind w:firstLine="420" w:firstLineChars="200"/>
    </w:pPr>
    <w:rPr>
      <w:rFonts w:ascii="Calibri" w:hAnsi="Calibri" w:eastAsia="宋体" w:cs="宋体"/>
      <w:szCs w:val="20"/>
    </w:rPr>
  </w:style>
  <w:style w:type="paragraph" w:customStyle="1" w:styleId="22">
    <w:name w:val="列出段落11"/>
    <w:basedOn w:val="1"/>
    <w:qFormat/>
    <w:uiPriority w:val="99"/>
    <w:pPr>
      <w:ind w:firstLine="420" w:firstLineChars="200"/>
    </w:pPr>
    <w:rPr>
      <w:rFonts w:ascii="Calibri" w:hAnsi="Calibri" w:eastAsia="宋体" w:cs="宋体"/>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3325</Words>
  <Characters>18956</Characters>
  <Lines>157</Lines>
  <Paragraphs>44</Paragraphs>
  <TotalTime>121</TotalTime>
  <ScaleCrop>false</ScaleCrop>
  <LinksUpToDate>false</LinksUpToDate>
  <CharactersWithSpaces>22237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2021-09-06T01:05:00Z</dcterms:created>
  <dc:creator>User</dc:creator>
  <cp:lastModifiedBy>wj</cp:lastModifiedBy>
  <dcterms:modified xsi:type="dcterms:W3CDTF">2022-02-09T12:38:29Z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