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88E7" w14:textId="77777777" w:rsidR="0008589F" w:rsidRDefault="00872D49">
      <w:pPr>
        <w:spacing w:afterLines="100" w:after="312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附件3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兴安职业技术学院“金课”认定评分表</w:t>
      </w:r>
    </w:p>
    <w:p w14:paraId="4988ED9E" w14:textId="235F7DC6" w:rsidR="0008589F" w:rsidRDefault="00872D49" w:rsidP="00AE0C3F">
      <w:pPr>
        <w:jc w:val="center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申报教师：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课程名称：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</w:t>
      </w:r>
      <w:r w:rsidR="005D7617">
        <w:rPr>
          <w:rFonts w:ascii="仿宋" w:eastAsia="仿宋" w:hAnsi="仿宋" w:cs="仿宋" w:hint="eastAsia"/>
          <w:color w:val="000000"/>
          <w:sz w:val="28"/>
          <w:szCs w:val="28"/>
        </w:rPr>
        <w:t>任课班级：</w:t>
      </w:r>
    </w:p>
    <w:tbl>
      <w:tblPr>
        <w:tblW w:w="9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3118"/>
        <w:gridCol w:w="709"/>
        <w:gridCol w:w="2693"/>
        <w:gridCol w:w="709"/>
      </w:tblGrid>
      <w:tr w:rsidR="0008589F" w14:paraId="508B5D18" w14:textId="77777777">
        <w:trPr>
          <w:trHeight w:val="701"/>
          <w:tblHeader/>
          <w:jc w:val="center"/>
        </w:trPr>
        <w:tc>
          <w:tcPr>
            <w:tcW w:w="1266" w:type="dxa"/>
            <w:shd w:val="clear" w:color="000000" w:fill="F8F8F8"/>
            <w:vAlign w:val="center"/>
          </w:tcPr>
          <w:p w14:paraId="2510AF3A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76" w:type="dxa"/>
            <w:shd w:val="clear" w:color="000000" w:fill="F8F8F8"/>
            <w:vAlign w:val="center"/>
          </w:tcPr>
          <w:p w14:paraId="0C1EFBF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3118" w:type="dxa"/>
            <w:shd w:val="clear" w:color="000000" w:fill="F8F8F8"/>
            <w:vAlign w:val="center"/>
          </w:tcPr>
          <w:p w14:paraId="1BB51FE7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基本要求</w:t>
            </w:r>
          </w:p>
        </w:tc>
        <w:tc>
          <w:tcPr>
            <w:tcW w:w="709" w:type="dxa"/>
            <w:shd w:val="clear" w:color="000000" w:fill="F8F8F8"/>
            <w:vAlign w:val="center"/>
          </w:tcPr>
          <w:p w14:paraId="0E95AD59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693" w:type="dxa"/>
            <w:shd w:val="clear" w:color="000000" w:fill="F8F8F8"/>
            <w:vAlign w:val="center"/>
          </w:tcPr>
          <w:p w14:paraId="1F27ED4D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评分方式</w:t>
            </w:r>
          </w:p>
        </w:tc>
        <w:tc>
          <w:tcPr>
            <w:tcW w:w="709" w:type="dxa"/>
            <w:shd w:val="clear" w:color="000000" w:fill="F8F8F8"/>
            <w:vAlign w:val="center"/>
          </w:tcPr>
          <w:p w14:paraId="59C75EC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</w:tc>
      </w:tr>
      <w:tr w:rsidR="0008589F" w14:paraId="209BCE4F" w14:textId="77777777">
        <w:trPr>
          <w:trHeight w:val="920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0D7F3E09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 课程标准（5分）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7B8A5A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1-1系统性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4F77898B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要求着眼学生德、智、体、美、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全面发展，切合高等职业教育教学实际。明确有关先修课程基础，考虑后续课程需求，确立知识、能力与素质“三位一体”的教学目标。统筹安排课程教学内容、组织实施和教学评价等环节，合理分配理论教学和实践教学比例，优化课程教学设计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E47416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14:paraId="52463A9F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通过查看申报教师上传到云课堂中的课程标准总体情况，依据二级指标的基本要求进行评分。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6B43BC4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195885B0" w14:textId="77777777">
        <w:trPr>
          <w:trHeight w:val="1086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14467BC0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F06406D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1-2规范性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5DE280F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按照国家及有关部委、行业教学指导委员会对课程或专业提出的规范要求，结合我院实际情况，充分体现课程特色。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要求同一门课程制订统一的课程标准。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7A8F2C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59D36619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1E00A221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5E1D6BC9" w14:textId="77777777">
        <w:trPr>
          <w:trHeight w:val="1086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740D5F2A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008D13C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1-3适应性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D4FB1C1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课程内容必须符合职业发展需要，反映本课程在职业岗位上对学生知识、能力与素质的基本要求，与人才培养目标、专业发展前景相适应。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563137A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24EF0B69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019577B1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01A918A6" w14:textId="77777777">
        <w:trPr>
          <w:trHeight w:val="1086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9BCD77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CA390B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1-4发展性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9F32F5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紧跟科学技术进步和社会经济发展趋势，更新教学内容，创新教学方法，充分体现教学改革成果，及时反映行业发展的新技术、新工艺、新规范，为学生个性培养，全面发展奠定基础。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6D0B2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0F51C77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4F5EC49A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746548BB" w14:textId="77777777">
        <w:trPr>
          <w:trHeight w:val="1086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4F233D78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5FA0209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1-5完整性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32CBF41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课程标准的主要内容包括课程概述、课程目标、内容标准（课程内容与要求）、课程实施、教学条件、考核评价等内容。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6B1EBFD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02B73EC7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4AF0010E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5BBEE020" w14:textId="77777777">
        <w:trPr>
          <w:trHeight w:val="942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6CA42C2F" w14:textId="71E01E0F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 课程内容（</w:t>
            </w:r>
            <w:r w:rsidRPr="002369CF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BC37D9" w:rsidRPr="002369CF"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4009D2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2-1思想性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40C5BC25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坚持立德树人，落实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要求，能够将专业知识教育与思想政治教育紧密融合，弘扬社会主义核心价值观。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CCF9ED8" w14:textId="11591511" w:rsidR="0008589F" w:rsidRPr="002369CF" w:rsidRDefault="002369C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369CF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872D49" w:rsidRPr="002369CF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14:paraId="440DC8A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通过查看申报教师上传到云课堂中的课程标准、课程整体设计、课程单元设计、选用教材，根据二级指标的基本要求进行评分。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5FD7254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4282D1DB" w14:textId="77777777">
        <w:trPr>
          <w:trHeight w:val="969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44A90DB5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247FA9A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2-2科学性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509D324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教学内容有效支撑教学目标的实现，科学严谨、安排合理、衔接有序、结构清晰。实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训教学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内容源于真实工作任务、项目或工作流程、过程等。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教材选用符合《职业院校教材管理办法》等文件规定和要求，探索使用新型活页式、工作手册式教材。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99EC53B" w14:textId="44AF737B" w:rsidR="0008589F" w:rsidRPr="002369CF" w:rsidRDefault="002369C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369CF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 w:rsidR="00872D49" w:rsidRPr="002369CF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1B013071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17AC27E2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1F0E92B8" w14:textId="77777777">
        <w:trPr>
          <w:trHeight w:val="665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2FB9A6B6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003D5A0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2-3先进性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4CB38413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课程内容体现前沿与时代要求，紧跟科学技术进步和社会经济发展趋势更新课程内容，及时反映相关领域产业升级的新技术、新工艺、新规范。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DDEBC53" w14:textId="5EFB60A6" w:rsidR="0008589F" w:rsidRPr="002369CF" w:rsidRDefault="002369C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2369CF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 w:rsidR="00872D49" w:rsidRPr="002369CF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04EB81D7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59E0C5BC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46A985D0" w14:textId="77777777">
        <w:trPr>
          <w:trHeight w:val="989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0D1F5305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 课程教学设计（15分）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C0A6CF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3-1职业性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4ACC0B52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体现出对学生职业能力的培养,注重“做中学，学中做”，以职业行动领域工作过程为导向，教学内容针对某一职业岗位（群）的实际需要，具有很强的针对性和应用性。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0DB2481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14:paraId="421428ED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通过查看申报教师上传到云课堂中的课程整体设计、课程单元设计、授课计划，依据二级指标的基本要求进行评分。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1A72F18E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499FDA65" w14:textId="77777777">
        <w:trPr>
          <w:trHeight w:val="989"/>
          <w:jc w:val="center"/>
        </w:trPr>
        <w:tc>
          <w:tcPr>
            <w:tcW w:w="1266" w:type="dxa"/>
            <w:vMerge/>
            <w:shd w:val="clear" w:color="000000" w:fill="FFFFFF"/>
            <w:vAlign w:val="center"/>
          </w:tcPr>
          <w:p w14:paraId="707F635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213C8B7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3-2动力性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C07FDE8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课程改革与职业道德、职业规范、职业标准有机融合。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结合业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态发展与变革、及时更新业内发展最新方向标与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新理念。教案书写参照国家教学能力大赛规格，教学形式体现先进性、多样性和互动性。完善学生学习的过程性考评、奖励性考评，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合理设计教学的各个环节，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体现线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上资源和线下课堂相结合的优势。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9A47690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5分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45653E84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581C1D60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49754D32" w14:textId="77777777">
        <w:trPr>
          <w:trHeight w:val="989"/>
          <w:jc w:val="center"/>
        </w:trPr>
        <w:tc>
          <w:tcPr>
            <w:tcW w:w="1266" w:type="dxa"/>
            <w:vMerge/>
            <w:shd w:val="clear" w:color="000000" w:fill="FFFFFF"/>
            <w:vAlign w:val="center"/>
          </w:tcPr>
          <w:p w14:paraId="148A2B76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3B20E62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3-3系统性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0DE8824" w14:textId="77777777" w:rsidR="0008589F" w:rsidRDefault="00872D49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按照“工作岗位（群）”需求，制定课程标准、明确课程学习重点内容和所需解决的核心问题，体现课程内容的完整性和系统性；以“任务引领”“行动导向”教学方法为主体，避免“填鸭式”“满堂灌”课堂教学，突出学生中心，强调知行合一，体现教学手段与方法的系统性。围绕目标达成、教学内容、组织实施和多元评价进行整体规划，教学策略、教学方法、教学过程、教学评价设计合理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198BF1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431A859A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6B8431BF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3CECA803" w14:textId="77777777">
        <w:trPr>
          <w:trHeight w:val="830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341F44B7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 课程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资源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E9BFA3F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4-1完整性、多样性与先进性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0DC0D97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以引用已有教学资源，或改造已有资源或自行开发资源，如引用已有教学资源，应为省级或国家级精品在线开放课程资源。如在MOOC平台运行的精品在线开放课程，课程所有资源应为原创。要保证课程资源系统、完整、类型丰富，及时更新。应包括课程标准、课程整体设计、课程单元设计、课程微视频、课程P</w:t>
            </w:r>
            <w:r>
              <w:rPr>
                <w:rFonts w:ascii="仿宋" w:eastAsia="仿宋" w:hAnsi="仿宋" w:cs="仿宋"/>
                <w:sz w:val="24"/>
                <w:szCs w:val="24"/>
              </w:rPr>
              <w:t>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课件、课程试题库等教学资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源。每个教学</w:t>
            </w:r>
            <w:r>
              <w:rPr>
                <w:rFonts w:ascii="仿宋" w:eastAsia="仿宋" w:hAnsi="仿宋" w:cs="仿宋"/>
                <w:sz w:val="24"/>
                <w:szCs w:val="24"/>
              </w:rPr>
              <w:t>模块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须</w:t>
            </w:r>
            <w:r>
              <w:rPr>
                <w:rFonts w:ascii="仿宋" w:eastAsia="仿宋" w:hAnsi="仿宋" w:cs="仿宋"/>
                <w:sz w:val="24"/>
                <w:szCs w:val="24"/>
              </w:rPr>
              <w:t>增加开放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式测验题</w:t>
            </w:r>
            <w:r>
              <w:rPr>
                <w:rFonts w:ascii="仿宋" w:eastAsia="仿宋" w:hAnsi="仿宋" w:cs="仿宋"/>
                <w:sz w:val="24"/>
                <w:szCs w:val="24"/>
              </w:rPr>
              <w:t>、案例题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讨论题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等综合应用题，每门课程题库建设不少于300道。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1学分不少于8个教学微视频，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每个教学微视频时长建议5-8分钟。1个完整教学任务不少于1个微视频。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502375F" w14:textId="3D352B4B" w:rsidR="0008589F" w:rsidRDefault="00D230F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15</w:t>
            </w:r>
            <w:r w:rsidR="00872D4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112DF00" w14:textId="7751B05B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通过查看云课堂中的课程建设整体情况</w:t>
            </w:r>
            <w:r w:rsidR="002B002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0C01D247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72207E24" w14:textId="77777777" w:rsidTr="002B002F">
        <w:trPr>
          <w:trHeight w:val="830"/>
          <w:jc w:val="center"/>
        </w:trPr>
        <w:tc>
          <w:tcPr>
            <w:tcW w:w="1266" w:type="dxa"/>
            <w:vMerge/>
            <w:shd w:val="clear" w:color="000000" w:fill="FFFFFF"/>
            <w:vAlign w:val="center"/>
          </w:tcPr>
          <w:p w14:paraId="5DF65A19" w14:textId="77777777" w:rsidR="0008589F" w:rsidRDefault="0008589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EEB5735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4-2信息化教学资源的应用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57D7C33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学生使用信息化教学资源开展自主学习频率高，教师充分利用信息化教学资源辅助课堂教学，应用效果好。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A12723E" w14:textId="6FCA739B" w:rsidR="0008589F" w:rsidRDefault="00D230F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0B57377" w14:textId="2AED007A" w:rsidR="0008589F" w:rsidRDefault="002B002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根据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资源线上线下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应用情况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依据二级指标的基本要求进行评分。（</w:t>
            </w:r>
            <w:r w:rsidRPr="00405D3B">
              <w:rPr>
                <w:rFonts w:ascii="仿宋" w:eastAsia="仿宋" w:hAnsi="仿宋" w:cs="仿宋" w:hint="eastAsia"/>
                <w:sz w:val="22"/>
              </w:rPr>
              <w:t>云课堂</w:t>
            </w:r>
            <w:r>
              <w:rPr>
                <w:rFonts w:ascii="仿宋" w:eastAsia="仿宋" w:hAnsi="仿宋" w:cs="仿宋" w:hint="eastAsia"/>
                <w:sz w:val="22"/>
              </w:rPr>
              <w:t>中课程统计分析和班级统计分析</w:t>
            </w:r>
            <w:r w:rsidRPr="00405D3B">
              <w:rPr>
                <w:rFonts w:ascii="仿宋" w:eastAsia="仿宋" w:hAnsi="仿宋" w:cs="仿宋" w:hint="eastAsia"/>
                <w:sz w:val="22"/>
              </w:rPr>
              <w:t>数据作为参考性指标不计分数，</w:t>
            </w:r>
            <w:r w:rsidRPr="00CA54F0">
              <w:rPr>
                <w:rFonts w:ascii="仿宋" w:eastAsia="仿宋" w:hAnsi="仿宋" w:cs="仿宋" w:hint="eastAsia"/>
                <w:sz w:val="22"/>
              </w:rPr>
              <w:t>但没有数据支撑为否决项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09" w:type="dxa"/>
            <w:shd w:val="clear" w:color="000000" w:fill="FFFFFF"/>
          </w:tcPr>
          <w:p w14:paraId="6C1B65E2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015F14B5" w14:textId="77777777">
        <w:trPr>
          <w:trHeight w:val="830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639432C5" w14:textId="77777777" w:rsidR="0008589F" w:rsidRDefault="00872D49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 课堂实施（35分）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6CADF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5-1教学目标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F5AED5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教学目标明确具体，可检测，表述恰当，符合课程标准的要求和教学对象的实际。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E50122C" w14:textId="08B27056" w:rsidR="0008589F" w:rsidRDefault="002369C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  <w:r w:rsidR="00872D4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93" w:type="dxa"/>
            <w:vMerge w:val="restart"/>
            <w:shd w:val="clear" w:color="000000" w:fill="FFFFFF"/>
            <w:vAlign w:val="center"/>
          </w:tcPr>
          <w:p w14:paraId="70D60D9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根据学生学习行为大数据分析与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系部金课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认定领导小组成员随机听课相结合的方式对教学过程全方位评价，用直观的数据了解学生对知识掌握的水平，评价教师的课堂教学实施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5ED3E0AC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731D4F41" w14:textId="77777777">
        <w:trPr>
          <w:trHeight w:val="830"/>
          <w:jc w:val="center"/>
        </w:trPr>
        <w:tc>
          <w:tcPr>
            <w:tcW w:w="1266" w:type="dxa"/>
            <w:vMerge/>
            <w:shd w:val="clear" w:color="000000" w:fill="FFFFFF"/>
            <w:vAlign w:val="center"/>
          </w:tcPr>
          <w:p w14:paraId="37AA1EA6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1466974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-2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课程思政</w:t>
            </w:r>
            <w:proofErr w:type="gramEnd"/>
          </w:p>
        </w:tc>
        <w:tc>
          <w:tcPr>
            <w:tcW w:w="3118" w:type="dxa"/>
            <w:shd w:val="clear" w:color="000000" w:fill="FFFFFF"/>
            <w:vAlign w:val="center"/>
          </w:tcPr>
          <w:p w14:paraId="3EC757D7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结合课程特点把社会主义核心价值观、劳动教育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等思政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元素巧妙融入课堂教学中，开展劳动精神、劳模精神、工匠精神教育。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081980B" w14:textId="5F2BC1E7" w:rsidR="0008589F" w:rsidRDefault="002369C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 w:rsidR="00872D4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06B295AC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0C249964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03D04089" w14:textId="77777777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46766277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6AC5C67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-3教学过程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5D61A7D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的教学策略得当，教学活动设计安排合理，按照教学计划为学习者提供测验、作业、考试、答疑、讨论等教学活动，及时开展有效的指导与测评。每周教学活动不少于2个讨论话题，每个月不少于1次课堂小测验，每个学期内不少于2次综合测试。有效应用信息技术和信息化教学资源改革传统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学方式。课堂教学过程响应度高，充分体现以学生为中心的教学理念，教学做一体化，师生互动活跃、高效，打破传统课堂“满堂灌”和沉默状态，能有效训练学生的岗位实践能力和解决问题的能力。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70EDCD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15分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355F8D44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2DBB4198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08B1301A" w14:textId="77777777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674872DA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16B000B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5-4教学方法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60ED8095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根据课程的性质与内容灵活采用符合“做中学”教学理念的教学方法。合理应用在线教学平台、移动终端和智慧教学等工具，注重信息技术与课程教学的融合，采取项目、任务、案例、问题等多种方法开展教学活动，方法手段设计恰当，注重学生的交流、协作、探究、创新等能力的形成和提高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6AC520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25190CCE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4D0D0CCF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11C17C88" w14:textId="77777777">
        <w:trPr>
          <w:trHeight w:val="300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108F1330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BDFE5B0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5-5教学评价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377B7531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能够与时俱进，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构建多元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考核评价方式，关注教与学全过程的信息采集，形成性评价与总结性评价相结合，注重过程性评价、表现性评价、发展性评价，实行多主体参与的评价。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64BB3F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2693" w:type="dxa"/>
            <w:vMerge/>
            <w:shd w:val="clear" w:color="000000" w:fill="FFFFFF"/>
          </w:tcPr>
          <w:p w14:paraId="7144CCEB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777655AB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3164CB2A" w14:textId="77777777">
        <w:trPr>
          <w:trHeight w:val="685"/>
          <w:jc w:val="center"/>
        </w:trPr>
        <w:tc>
          <w:tcPr>
            <w:tcW w:w="1266" w:type="dxa"/>
            <w:vMerge w:val="restart"/>
            <w:shd w:val="clear" w:color="000000" w:fill="FFFFFF"/>
            <w:vAlign w:val="center"/>
          </w:tcPr>
          <w:p w14:paraId="46D3272D" w14:textId="7307D658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 课程教学效果与应用改进（</w:t>
            </w:r>
            <w:r w:rsidRPr="00405D3B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 w:rsidR="00BC37D9" w:rsidRPr="00405D3B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92C4E9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-1课程教学效果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7298F722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效果评价采用定性与定量相结合的多元评价方式，评价主体有学生、同行、领导、督导等，其中定性包括内容的先进性、体现的职业性、态度的端正性、投入的积极性、考题的挑战性、成绩的正态性、教法的科学性、案例的广适性；定量包括考题数量与考时匹配、学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生考试合格率适中、学生的高到课率、高抬头率、高点头率、高通过率等。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他能证明教学效果的学生学业成就。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14DC10B" w14:textId="6F5A6C33" w:rsidR="0008589F" w:rsidRPr="00C44238" w:rsidRDefault="00C4423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405D3B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12</w:t>
            </w:r>
            <w:r w:rsidR="00872D49" w:rsidRPr="00405D3B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EF3C033" w14:textId="7A9C3CC5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通过教学管理系统</w:t>
            </w:r>
            <w:bookmarkStart w:id="0" w:name="_Hlk67839056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期末多</w:t>
            </w:r>
            <w:bookmarkEnd w:id="0"/>
            <w:r w:rsidR="00765FEA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教学评价结果</w:t>
            </w:r>
            <w:bookmarkStart w:id="1" w:name="_Hlk67839031"/>
            <w:r w:rsidR="00C44238" w:rsidRPr="00CE29D1"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5C13DA" w:rsidRPr="00CE29D1">
              <w:rPr>
                <w:rFonts w:ascii="仿宋" w:eastAsia="仿宋" w:hAnsi="仿宋" w:cs="仿宋" w:hint="eastAsia"/>
                <w:sz w:val="24"/>
                <w:szCs w:val="24"/>
              </w:rPr>
              <w:t>问卷调查、个别访谈、</w:t>
            </w:r>
            <w:r w:rsidRPr="00CE29D1">
              <w:rPr>
                <w:rFonts w:ascii="仿宋" w:eastAsia="仿宋" w:hAnsi="仿宋" w:hint="eastAsia"/>
                <w:sz w:val="24"/>
                <w:szCs w:val="24"/>
              </w:rPr>
              <w:t>督导及领导听课情况及</w:t>
            </w:r>
            <w:bookmarkEnd w:id="1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智慧课堂形成的数据进行</w:t>
            </w:r>
            <w:r w:rsidR="005C13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综合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分析评价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</w:t>
            </w:r>
            <w:bookmarkStart w:id="2" w:name="_Hlk67839122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及其他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能证明教学效果的学生学业成就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bookmarkEnd w:id="2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78215272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042E8DEC" w14:textId="77777777">
        <w:trPr>
          <w:trHeight w:val="477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02D2C588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AF0998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-2应用改进情况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B3E561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采用信息化教学手段将课程资源与课堂教学相结合，推动教学方法改革，有效提高教学质量。根据教学效果反馈，对教学方式、课程内容、课程资源、考试、答疑等进行持续改进。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17A7C5E" w14:textId="432EB4F6" w:rsidR="0008589F" w:rsidRPr="00C44238" w:rsidRDefault="00C4423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405D3B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 w:rsidR="00872D49" w:rsidRPr="00405D3B">
              <w:rPr>
                <w:rFonts w:ascii="仿宋" w:eastAsia="仿宋" w:hAnsi="仿宋" w:cs="仿宋" w:hint="eastAsia"/>
                <w:sz w:val="24"/>
                <w:szCs w:val="24"/>
              </w:rPr>
              <w:t>分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301CFDB" w14:textId="7EF9AF8E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</w:t>
            </w:r>
            <w:r w:rsidR="00C44238" w:rsidRPr="00F51AFE">
              <w:rPr>
                <w:rFonts w:ascii="仿宋" w:eastAsia="仿宋" w:hAnsi="仿宋" w:cs="仿宋" w:hint="eastAsia"/>
                <w:sz w:val="24"/>
                <w:szCs w:val="24"/>
              </w:rPr>
              <w:t>问卷调查、个别访谈、</w:t>
            </w:r>
            <w:r w:rsidR="00C44238" w:rsidRPr="00F51AFE">
              <w:rPr>
                <w:rFonts w:ascii="仿宋" w:eastAsia="仿宋" w:hAnsi="仿宋" w:hint="eastAsia"/>
                <w:sz w:val="24"/>
                <w:szCs w:val="24"/>
              </w:rPr>
              <w:t>督导及领导听课情况</w:t>
            </w:r>
            <w:r w:rsidR="00C44238" w:rsidRPr="00F51AFE">
              <w:rPr>
                <w:rFonts w:ascii="仿宋" w:eastAsia="仿宋" w:hAnsi="仿宋" w:cs="仿宋" w:hint="eastAsia"/>
                <w:sz w:val="24"/>
                <w:szCs w:val="24"/>
              </w:rPr>
              <w:t>以及课程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改进情况，依据二级指标的基本要求进行评分。</w:t>
            </w:r>
          </w:p>
        </w:tc>
        <w:tc>
          <w:tcPr>
            <w:tcW w:w="709" w:type="dxa"/>
            <w:shd w:val="clear" w:color="000000" w:fill="FFFFFF"/>
          </w:tcPr>
          <w:p w14:paraId="178FD6C2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1CEA7366" w14:textId="77777777">
        <w:trPr>
          <w:trHeight w:val="995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14:paraId="0907481E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否决性指标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664EE8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2AEE1A56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申报金课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教师的学生评教、系督导评教、系领导评教结果均处于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所在系部前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30%。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75190E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</w:tcPr>
          <w:p w14:paraId="264EF053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3D666982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3DE451A5" w14:textId="77777777">
        <w:trPr>
          <w:trHeight w:val="995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14:paraId="6959DB5B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374120F4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7-2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14:paraId="589A03E3" w14:textId="77777777" w:rsidR="0008589F" w:rsidRDefault="00872D49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申报金课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教师学期内出现教学事故、违反师德师风行为规范一票否决。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93EDBD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000000" w:fill="FFFFFF"/>
          </w:tcPr>
          <w:p w14:paraId="71143011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14:paraId="2E84F629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8589F" w14:paraId="4AEB8D56" w14:textId="77777777">
        <w:trPr>
          <w:trHeight w:val="584"/>
          <w:jc w:val="center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B1CFD1B" w14:textId="0C8228E3" w:rsidR="0008589F" w:rsidRPr="007656BD" w:rsidRDefault="00872D4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7656B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总分</w:t>
            </w:r>
            <w:r w:rsidR="007656BD" w:rsidRPr="007656B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709" w:type="dxa"/>
            <w:shd w:val="clear" w:color="000000" w:fill="FFFFFF"/>
          </w:tcPr>
          <w:p w14:paraId="2226F0AB" w14:textId="77777777" w:rsidR="0008589F" w:rsidRDefault="0008589F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14:paraId="499A0571" w14:textId="77777777" w:rsidR="0008589F" w:rsidRDefault="0008589F"/>
    <w:p w14:paraId="34CF9ACA" w14:textId="77777777" w:rsidR="0008589F" w:rsidRDefault="00872D49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系部金课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认定领导小组评分人签字：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日期：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年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月 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sectPr w:rsidR="0008589F">
      <w:footerReference w:type="default" r:id="rId7"/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54B1B" w14:textId="77777777" w:rsidR="00B46259" w:rsidRDefault="00B46259">
      <w:r>
        <w:separator/>
      </w:r>
    </w:p>
  </w:endnote>
  <w:endnote w:type="continuationSeparator" w:id="0">
    <w:p w14:paraId="788A9B63" w14:textId="77777777" w:rsidR="00B46259" w:rsidRDefault="00B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246533"/>
    </w:sdtPr>
    <w:sdtEndPr/>
    <w:sdtContent>
      <w:p w14:paraId="27DA94F0" w14:textId="77777777" w:rsidR="0008589F" w:rsidRDefault="00872D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908778" w14:textId="77777777" w:rsidR="0008589F" w:rsidRDefault="000858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1BDC0" w14:textId="77777777" w:rsidR="00B46259" w:rsidRDefault="00B46259">
      <w:r>
        <w:separator/>
      </w:r>
    </w:p>
  </w:footnote>
  <w:footnote w:type="continuationSeparator" w:id="0">
    <w:p w14:paraId="4671BCBA" w14:textId="77777777" w:rsidR="00B46259" w:rsidRDefault="00B4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E0"/>
    <w:rsid w:val="00073B30"/>
    <w:rsid w:val="0008589F"/>
    <w:rsid w:val="002369CF"/>
    <w:rsid w:val="002B002F"/>
    <w:rsid w:val="002F6B36"/>
    <w:rsid w:val="00313065"/>
    <w:rsid w:val="003353D5"/>
    <w:rsid w:val="00387415"/>
    <w:rsid w:val="003D5FA2"/>
    <w:rsid w:val="00405D3B"/>
    <w:rsid w:val="004451CB"/>
    <w:rsid w:val="0049428F"/>
    <w:rsid w:val="004A7FBC"/>
    <w:rsid w:val="004F1DE2"/>
    <w:rsid w:val="00520E1C"/>
    <w:rsid w:val="00521C2D"/>
    <w:rsid w:val="0056440C"/>
    <w:rsid w:val="00585604"/>
    <w:rsid w:val="005C13DA"/>
    <w:rsid w:val="005D7617"/>
    <w:rsid w:val="005F038F"/>
    <w:rsid w:val="00670E2D"/>
    <w:rsid w:val="00671073"/>
    <w:rsid w:val="006734AD"/>
    <w:rsid w:val="006751B5"/>
    <w:rsid w:val="006C711F"/>
    <w:rsid w:val="0071051E"/>
    <w:rsid w:val="007656BD"/>
    <w:rsid w:val="00765FEA"/>
    <w:rsid w:val="00790BA2"/>
    <w:rsid w:val="0084713B"/>
    <w:rsid w:val="00872D49"/>
    <w:rsid w:val="00A005EC"/>
    <w:rsid w:val="00A2101D"/>
    <w:rsid w:val="00A87DE0"/>
    <w:rsid w:val="00AE0C3F"/>
    <w:rsid w:val="00B056C7"/>
    <w:rsid w:val="00B46259"/>
    <w:rsid w:val="00BA4286"/>
    <w:rsid w:val="00BC37D9"/>
    <w:rsid w:val="00C040AD"/>
    <w:rsid w:val="00C10194"/>
    <w:rsid w:val="00C44238"/>
    <w:rsid w:val="00C8677F"/>
    <w:rsid w:val="00CE29D1"/>
    <w:rsid w:val="00D230F4"/>
    <w:rsid w:val="00DF57C3"/>
    <w:rsid w:val="00E35181"/>
    <w:rsid w:val="00F473D4"/>
    <w:rsid w:val="00F51AFE"/>
    <w:rsid w:val="00F82268"/>
    <w:rsid w:val="00FF3A08"/>
    <w:rsid w:val="517E6375"/>
    <w:rsid w:val="59A242B7"/>
    <w:rsid w:val="692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B84A1"/>
  <w15:docId w15:val="{FE6B8DD6-9CB9-4D03-82D4-3C163090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2021-02-26T06:47:00Z</dcterms:created>
  <dcterms:modified xsi:type="dcterms:W3CDTF">2021-03-28T13:47:00Z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62789D7EDAFC4B219F732EF15ECC88AA</vt:lpwstr>
  </property>
</Properties>
</file>